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1A2" w:rsidRDefault="006E71A2" w:rsidP="00E23658">
      <w:pPr>
        <w:rPr>
          <w:rFonts w:ascii="Arial" w:hAnsi="Arial" w:cs="Arial"/>
          <w:b/>
          <w:highlight w:val="yellow"/>
        </w:rPr>
      </w:pPr>
    </w:p>
    <w:tbl>
      <w:tblPr>
        <w:tblW w:w="10314" w:type="dxa"/>
        <w:tblLayout w:type="fixed"/>
        <w:tblLook w:val="0000" w:firstRow="0" w:lastRow="0" w:firstColumn="0" w:lastColumn="0" w:noHBand="0" w:noVBand="0"/>
      </w:tblPr>
      <w:tblGrid>
        <w:gridCol w:w="6912"/>
        <w:gridCol w:w="3402"/>
      </w:tblGrid>
      <w:tr w:rsidR="00242633" w:rsidRPr="00784955" w:rsidTr="00951B2B">
        <w:tc>
          <w:tcPr>
            <w:tcW w:w="6912" w:type="dxa"/>
          </w:tcPr>
          <w:p w:rsidR="0022394C" w:rsidRDefault="00242633" w:rsidP="0022394C">
            <w:pPr>
              <w:pStyle w:val="Heading7"/>
              <w:spacing w:after="0"/>
              <w:rPr>
                <w:rFonts w:ascii="Arial" w:hAnsi="Arial" w:cs="Arial"/>
                <w:szCs w:val="24"/>
              </w:rPr>
            </w:pPr>
            <w:r w:rsidRPr="00784955">
              <w:rPr>
                <w:rFonts w:ascii="Arial" w:hAnsi="Arial" w:cs="Arial"/>
                <w:szCs w:val="24"/>
              </w:rPr>
              <w:t>WEST LONDON WASTE AUTHORITY</w:t>
            </w:r>
          </w:p>
          <w:p w:rsidR="0022394C" w:rsidRPr="0022394C" w:rsidRDefault="0022394C" w:rsidP="0022394C">
            <w:pPr>
              <w:pStyle w:val="Heading7"/>
            </w:pPr>
            <w:r w:rsidRPr="0022394C">
              <w:rPr>
                <w:rFonts w:ascii="Arial" w:hAnsi="Arial" w:cs="Arial"/>
                <w:szCs w:val="24"/>
              </w:rPr>
              <w:t>AUDIT COMMITTEE</w:t>
            </w:r>
            <w:r>
              <w:t xml:space="preserve"> </w:t>
            </w:r>
          </w:p>
        </w:tc>
        <w:tc>
          <w:tcPr>
            <w:tcW w:w="3402" w:type="dxa"/>
          </w:tcPr>
          <w:p w:rsidR="00242633" w:rsidRPr="00784955" w:rsidRDefault="00242633" w:rsidP="005E6835">
            <w:pPr>
              <w:spacing w:after="240"/>
              <w:ind w:right="317"/>
              <w:jc w:val="right"/>
              <w:rPr>
                <w:rFonts w:ascii="Arial" w:hAnsi="Arial" w:cs="Arial"/>
                <w:szCs w:val="24"/>
              </w:rPr>
            </w:pPr>
          </w:p>
        </w:tc>
      </w:tr>
      <w:tr w:rsidR="00242633" w:rsidRPr="00784955" w:rsidTr="00951B2B">
        <w:tc>
          <w:tcPr>
            <w:tcW w:w="6912" w:type="dxa"/>
          </w:tcPr>
          <w:p w:rsidR="00242633" w:rsidRPr="00D67B0C" w:rsidRDefault="00242633" w:rsidP="005F5A17">
            <w:pPr>
              <w:spacing w:after="240"/>
              <w:rPr>
                <w:rFonts w:ascii="Arial" w:hAnsi="Arial" w:cs="Arial"/>
                <w:szCs w:val="24"/>
              </w:rPr>
            </w:pPr>
            <w:r w:rsidRPr="00784955">
              <w:rPr>
                <w:rFonts w:ascii="Arial" w:hAnsi="Arial" w:cs="Arial"/>
                <w:szCs w:val="24"/>
              </w:rPr>
              <w:t xml:space="preserve">Report of the </w:t>
            </w:r>
            <w:r w:rsidR="00D67B0C">
              <w:rPr>
                <w:rFonts w:ascii="Arial" w:hAnsi="Arial" w:cs="Arial"/>
                <w:szCs w:val="24"/>
              </w:rPr>
              <w:t>Treasurer</w:t>
            </w:r>
            <w:r w:rsidR="004C2B15">
              <w:rPr>
                <w:rFonts w:ascii="Arial" w:hAnsi="Arial" w:cs="Arial"/>
                <w:szCs w:val="24"/>
              </w:rPr>
              <w:t xml:space="preserve"> </w:t>
            </w:r>
          </w:p>
        </w:tc>
        <w:tc>
          <w:tcPr>
            <w:tcW w:w="3402" w:type="dxa"/>
          </w:tcPr>
          <w:p w:rsidR="00242633" w:rsidRPr="00784955" w:rsidRDefault="00DF1028" w:rsidP="00DF1028">
            <w:pPr>
              <w:spacing w:after="240"/>
              <w:ind w:left="34"/>
              <w:jc w:val="right"/>
              <w:rPr>
                <w:rFonts w:ascii="Arial" w:hAnsi="Arial" w:cs="Arial"/>
                <w:szCs w:val="24"/>
              </w:rPr>
            </w:pPr>
            <w:r>
              <w:rPr>
                <w:rFonts w:ascii="Arial" w:hAnsi="Arial" w:cs="Arial"/>
                <w:szCs w:val="24"/>
              </w:rPr>
              <w:t>24</w:t>
            </w:r>
            <w:r w:rsidR="004E4A99">
              <w:rPr>
                <w:rFonts w:ascii="Arial" w:hAnsi="Arial" w:cs="Arial"/>
                <w:szCs w:val="24"/>
              </w:rPr>
              <w:t xml:space="preserve"> June 2022</w:t>
            </w:r>
          </w:p>
        </w:tc>
      </w:tr>
      <w:tr w:rsidR="00242633" w:rsidRPr="00784955" w:rsidTr="00951B2B">
        <w:trPr>
          <w:cantSplit/>
        </w:trPr>
        <w:tc>
          <w:tcPr>
            <w:tcW w:w="10314" w:type="dxa"/>
            <w:gridSpan w:val="2"/>
          </w:tcPr>
          <w:p w:rsidR="00242633" w:rsidRPr="00784955" w:rsidRDefault="00C37937" w:rsidP="004E4A99">
            <w:pPr>
              <w:spacing w:after="360"/>
              <w:rPr>
                <w:rFonts w:ascii="Arial" w:hAnsi="Arial" w:cs="Arial"/>
                <w:b/>
                <w:szCs w:val="24"/>
              </w:rPr>
            </w:pPr>
            <w:r>
              <w:rPr>
                <w:rFonts w:ascii="Arial" w:hAnsi="Arial" w:cs="Arial"/>
                <w:b/>
                <w:szCs w:val="24"/>
              </w:rPr>
              <w:t xml:space="preserve">Draft Statement of Accounts </w:t>
            </w:r>
            <w:r w:rsidR="004E4A99">
              <w:rPr>
                <w:rFonts w:ascii="Arial" w:hAnsi="Arial" w:cs="Arial"/>
                <w:b/>
                <w:szCs w:val="24"/>
              </w:rPr>
              <w:t>for the year ending 31 March 2022</w:t>
            </w:r>
          </w:p>
        </w:tc>
      </w:tr>
      <w:tr w:rsidR="00242633" w:rsidRPr="00784955" w:rsidTr="00951B2B">
        <w:trPr>
          <w:cantSplit/>
        </w:trPr>
        <w:tc>
          <w:tcPr>
            <w:tcW w:w="10314" w:type="dxa"/>
            <w:gridSpan w:val="2"/>
            <w:tcBorders>
              <w:top w:val="single" w:sz="4" w:space="0" w:color="auto"/>
              <w:left w:val="single" w:sz="4" w:space="0" w:color="auto"/>
              <w:right w:val="single" w:sz="4" w:space="0" w:color="auto"/>
            </w:tcBorders>
          </w:tcPr>
          <w:p w:rsidR="00242633" w:rsidRPr="00784955" w:rsidRDefault="00242633">
            <w:pPr>
              <w:pStyle w:val="Heading2"/>
              <w:spacing w:before="120" w:after="120"/>
              <w:rPr>
                <w:rFonts w:ascii="Arial" w:hAnsi="Arial" w:cs="Arial"/>
                <w:szCs w:val="24"/>
                <w:lang w:val="en-GB"/>
              </w:rPr>
            </w:pPr>
            <w:r w:rsidRPr="00784955">
              <w:rPr>
                <w:rFonts w:ascii="Arial" w:hAnsi="Arial" w:cs="Arial"/>
                <w:szCs w:val="24"/>
                <w:lang w:val="en-GB"/>
              </w:rPr>
              <w:t>SUMMARY</w:t>
            </w:r>
          </w:p>
          <w:p w:rsidR="00D81602" w:rsidRDefault="00784955" w:rsidP="00DF1028">
            <w:pPr>
              <w:pStyle w:val="BodyText"/>
              <w:spacing w:after="120"/>
              <w:rPr>
                <w:rFonts w:ascii="Arial" w:hAnsi="Arial" w:cs="Arial"/>
                <w:szCs w:val="24"/>
                <w:lang w:val="en-GB"/>
              </w:rPr>
            </w:pPr>
            <w:r>
              <w:rPr>
                <w:rFonts w:ascii="Arial" w:hAnsi="Arial" w:cs="Arial"/>
                <w:szCs w:val="24"/>
                <w:lang w:val="en-GB"/>
              </w:rPr>
              <w:t xml:space="preserve">This report </w:t>
            </w:r>
            <w:r w:rsidR="004E61A9">
              <w:rPr>
                <w:rFonts w:ascii="Arial" w:hAnsi="Arial" w:cs="Arial"/>
                <w:szCs w:val="24"/>
                <w:lang w:val="en-GB"/>
              </w:rPr>
              <w:t>pr</w:t>
            </w:r>
            <w:r w:rsidR="00853C8A">
              <w:rPr>
                <w:rFonts w:ascii="Arial" w:hAnsi="Arial" w:cs="Arial"/>
                <w:szCs w:val="24"/>
                <w:lang w:val="en-GB"/>
              </w:rPr>
              <w:t xml:space="preserve">esents the </w:t>
            </w:r>
            <w:r w:rsidR="0036607D">
              <w:rPr>
                <w:rFonts w:ascii="Arial" w:hAnsi="Arial" w:cs="Arial"/>
                <w:szCs w:val="24"/>
                <w:lang w:val="en-GB"/>
              </w:rPr>
              <w:t>d</w:t>
            </w:r>
            <w:r w:rsidR="002E7AC2">
              <w:rPr>
                <w:rFonts w:ascii="Arial" w:hAnsi="Arial" w:cs="Arial"/>
                <w:szCs w:val="24"/>
                <w:lang w:val="en-GB"/>
              </w:rPr>
              <w:t xml:space="preserve">raft </w:t>
            </w:r>
            <w:r w:rsidR="00DF1028">
              <w:rPr>
                <w:rFonts w:ascii="Arial" w:hAnsi="Arial" w:cs="Arial"/>
                <w:szCs w:val="24"/>
                <w:lang w:val="en-GB"/>
              </w:rPr>
              <w:t xml:space="preserve">2021/22 </w:t>
            </w:r>
            <w:r w:rsidR="0036607D">
              <w:rPr>
                <w:rFonts w:ascii="Arial" w:hAnsi="Arial" w:cs="Arial"/>
                <w:szCs w:val="24"/>
                <w:lang w:val="en-GB"/>
              </w:rPr>
              <w:t>S</w:t>
            </w:r>
            <w:r w:rsidR="002E7AC2">
              <w:rPr>
                <w:rFonts w:ascii="Arial" w:hAnsi="Arial" w:cs="Arial"/>
                <w:szCs w:val="24"/>
                <w:lang w:val="en-GB"/>
              </w:rPr>
              <w:t>tatement of Accounts</w:t>
            </w:r>
            <w:r w:rsidR="00D81602">
              <w:rPr>
                <w:rFonts w:ascii="Arial" w:hAnsi="Arial" w:cs="Arial"/>
                <w:szCs w:val="24"/>
                <w:lang w:val="en-GB"/>
              </w:rPr>
              <w:t xml:space="preserve"> The key points are:</w:t>
            </w:r>
          </w:p>
          <w:p w:rsidR="00D81602" w:rsidRDefault="00D81602" w:rsidP="00D81602">
            <w:pPr>
              <w:pStyle w:val="ListParagraph"/>
              <w:numPr>
                <w:ilvl w:val="0"/>
                <w:numId w:val="31"/>
              </w:numPr>
              <w:rPr>
                <w:sz w:val="24"/>
                <w:szCs w:val="24"/>
                <w:lang w:val="en-US"/>
              </w:rPr>
            </w:pPr>
            <w:r>
              <w:rPr>
                <w:sz w:val="24"/>
                <w:szCs w:val="24"/>
                <w:lang w:val="en-US"/>
              </w:rPr>
              <w:t>Operational financial performance and variances are broadly as forecast and reported during the year.</w:t>
            </w:r>
          </w:p>
          <w:p w:rsidR="00D81602" w:rsidRDefault="00D81602" w:rsidP="00D81602">
            <w:pPr>
              <w:pStyle w:val="ListParagraph"/>
              <w:numPr>
                <w:ilvl w:val="0"/>
                <w:numId w:val="31"/>
              </w:numPr>
              <w:rPr>
                <w:sz w:val="24"/>
                <w:szCs w:val="24"/>
                <w:lang w:val="en-US"/>
              </w:rPr>
            </w:pPr>
            <w:r>
              <w:rPr>
                <w:sz w:val="24"/>
                <w:szCs w:val="24"/>
                <w:lang w:val="en-US"/>
              </w:rPr>
              <w:t xml:space="preserve">The Authority’s income from the energy from waste plant was substantial </w:t>
            </w:r>
          </w:p>
          <w:p w:rsidR="00D81602" w:rsidRDefault="00D81602" w:rsidP="00D81602">
            <w:pPr>
              <w:pStyle w:val="ListParagraph"/>
              <w:numPr>
                <w:ilvl w:val="0"/>
                <w:numId w:val="31"/>
              </w:numPr>
              <w:rPr>
                <w:sz w:val="24"/>
                <w:szCs w:val="24"/>
                <w:lang w:val="en-US"/>
              </w:rPr>
            </w:pPr>
            <w:r>
              <w:rPr>
                <w:sz w:val="24"/>
                <w:szCs w:val="24"/>
                <w:lang w:val="en-US"/>
              </w:rPr>
              <w:t>Property valuations saw significant increase in land values reflecting current market conditions, but these are only notional/hypothetical gains</w:t>
            </w:r>
          </w:p>
          <w:p w:rsidR="00D81602" w:rsidRDefault="00D81602" w:rsidP="00D81602">
            <w:pPr>
              <w:pStyle w:val="ListParagraph"/>
              <w:numPr>
                <w:ilvl w:val="0"/>
                <w:numId w:val="31"/>
              </w:numPr>
              <w:rPr>
                <w:sz w:val="24"/>
                <w:szCs w:val="24"/>
                <w:lang w:val="en-US"/>
              </w:rPr>
            </w:pPr>
            <w:r>
              <w:rPr>
                <w:sz w:val="24"/>
                <w:szCs w:val="24"/>
                <w:lang w:val="en-US"/>
              </w:rPr>
              <w:t xml:space="preserve">The current financial performance and strength compare very </w:t>
            </w:r>
            <w:proofErr w:type="spellStart"/>
            <w:r>
              <w:rPr>
                <w:sz w:val="24"/>
                <w:szCs w:val="24"/>
                <w:lang w:val="en-US"/>
              </w:rPr>
              <w:t>favourably</w:t>
            </w:r>
            <w:proofErr w:type="spellEnd"/>
            <w:r>
              <w:rPr>
                <w:sz w:val="24"/>
                <w:szCs w:val="24"/>
                <w:lang w:val="en-US"/>
              </w:rPr>
              <w:t xml:space="preserve"> over the longer term </w:t>
            </w:r>
          </w:p>
          <w:p w:rsidR="00C13CC9" w:rsidRPr="00D81602" w:rsidRDefault="00D81602" w:rsidP="00D81602">
            <w:pPr>
              <w:pStyle w:val="ListParagraph"/>
              <w:numPr>
                <w:ilvl w:val="0"/>
                <w:numId w:val="31"/>
              </w:numPr>
              <w:rPr>
                <w:sz w:val="24"/>
                <w:szCs w:val="24"/>
                <w:lang w:val="en-US"/>
              </w:rPr>
            </w:pPr>
            <w:r>
              <w:rPr>
                <w:sz w:val="24"/>
                <w:szCs w:val="24"/>
                <w:lang w:val="en-US"/>
              </w:rPr>
              <w:t>Significant disbursements will be made to boroughs as identified in the Finance Strategy (separately reported) and noted in sections 2</w:t>
            </w:r>
            <w:r>
              <w:rPr>
                <w:sz w:val="24"/>
                <w:szCs w:val="24"/>
                <w:lang w:val="en-US"/>
              </w:rPr>
              <w:t>4</w:t>
            </w:r>
            <w:r>
              <w:rPr>
                <w:sz w:val="24"/>
                <w:szCs w:val="24"/>
                <w:lang w:val="en-US"/>
              </w:rPr>
              <w:t xml:space="preserve"> and 2</w:t>
            </w:r>
            <w:r>
              <w:rPr>
                <w:sz w:val="24"/>
                <w:szCs w:val="24"/>
                <w:lang w:val="en-US"/>
              </w:rPr>
              <w:t>8</w:t>
            </w:r>
            <w:bookmarkStart w:id="0" w:name="_GoBack"/>
            <w:bookmarkEnd w:id="0"/>
            <w:r>
              <w:rPr>
                <w:sz w:val="24"/>
                <w:szCs w:val="24"/>
                <w:lang w:val="en-US"/>
              </w:rPr>
              <w:t xml:space="preserve">. </w:t>
            </w:r>
          </w:p>
        </w:tc>
      </w:tr>
      <w:tr w:rsidR="00242633" w:rsidRPr="00784955" w:rsidTr="00951B2B">
        <w:trPr>
          <w:cantSplit/>
        </w:trPr>
        <w:tc>
          <w:tcPr>
            <w:tcW w:w="10314" w:type="dxa"/>
            <w:gridSpan w:val="2"/>
            <w:tcBorders>
              <w:top w:val="single" w:sz="4" w:space="0" w:color="auto"/>
              <w:bottom w:val="single" w:sz="4" w:space="0" w:color="auto"/>
            </w:tcBorders>
          </w:tcPr>
          <w:p w:rsidR="00242633" w:rsidRPr="00784955" w:rsidRDefault="00242633">
            <w:pPr>
              <w:spacing w:after="120"/>
              <w:rPr>
                <w:rFonts w:ascii="Arial" w:hAnsi="Arial" w:cs="Arial"/>
                <w:b/>
                <w:szCs w:val="24"/>
              </w:rPr>
            </w:pPr>
          </w:p>
        </w:tc>
      </w:tr>
      <w:tr w:rsidR="00242633" w:rsidRPr="00784955" w:rsidTr="00951B2B">
        <w:trPr>
          <w:cantSplit/>
        </w:trPr>
        <w:tc>
          <w:tcPr>
            <w:tcW w:w="10314" w:type="dxa"/>
            <w:gridSpan w:val="2"/>
            <w:tcBorders>
              <w:top w:val="single" w:sz="4" w:space="0" w:color="auto"/>
              <w:left w:val="single" w:sz="4" w:space="0" w:color="auto"/>
              <w:bottom w:val="single" w:sz="4" w:space="0" w:color="auto"/>
              <w:right w:val="single" w:sz="4" w:space="0" w:color="auto"/>
            </w:tcBorders>
          </w:tcPr>
          <w:p w:rsidR="00242633" w:rsidRPr="0015533E" w:rsidRDefault="00242633">
            <w:pPr>
              <w:spacing w:before="120" w:after="120"/>
              <w:rPr>
                <w:rFonts w:ascii="Arial" w:hAnsi="Arial" w:cs="Arial"/>
                <w:szCs w:val="24"/>
              </w:rPr>
            </w:pPr>
            <w:r w:rsidRPr="0015533E">
              <w:rPr>
                <w:rFonts w:ascii="Arial" w:hAnsi="Arial" w:cs="Arial"/>
                <w:b/>
                <w:szCs w:val="24"/>
              </w:rPr>
              <w:t>RECOMMENDATION</w:t>
            </w:r>
            <w:r w:rsidR="00F909D8" w:rsidRPr="0015533E">
              <w:rPr>
                <w:rFonts w:ascii="Arial" w:hAnsi="Arial" w:cs="Arial"/>
                <w:b/>
                <w:szCs w:val="24"/>
              </w:rPr>
              <w:t>(S)</w:t>
            </w:r>
          </w:p>
          <w:p w:rsidR="00C1425C" w:rsidRPr="0015533E" w:rsidRDefault="005F0B46" w:rsidP="00C1425C">
            <w:pPr>
              <w:pStyle w:val="Header"/>
              <w:tabs>
                <w:tab w:val="clear" w:pos="4153"/>
                <w:tab w:val="clear" w:pos="8306"/>
              </w:tabs>
              <w:spacing w:after="240"/>
              <w:jc w:val="both"/>
              <w:rPr>
                <w:rFonts w:ascii="Arial" w:hAnsi="Arial" w:cs="Arial"/>
                <w:szCs w:val="24"/>
              </w:rPr>
            </w:pPr>
            <w:r w:rsidRPr="0015533E">
              <w:rPr>
                <w:rFonts w:ascii="Arial" w:hAnsi="Arial" w:cs="Arial"/>
                <w:szCs w:val="24"/>
              </w:rPr>
              <w:t xml:space="preserve">The Authority </w:t>
            </w:r>
            <w:r w:rsidR="00E23658" w:rsidRPr="0015533E">
              <w:rPr>
                <w:rFonts w:ascii="Arial" w:hAnsi="Arial" w:cs="Arial"/>
                <w:szCs w:val="24"/>
              </w:rPr>
              <w:t>is asked to:-</w:t>
            </w:r>
          </w:p>
          <w:p w:rsidR="00232345" w:rsidRPr="0015533E" w:rsidRDefault="00D67B0C" w:rsidP="00DF1028">
            <w:pPr>
              <w:pStyle w:val="Header"/>
              <w:numPr>
                <w:ilvl w:val="0"/>
                <w:numId w:val="4"/>
              </w:numPr>
              <w:tabs>
                <w:tab w:val="clear" w:pos="4153"/>
                <w:tab w:val="clear" w:pos="8306"/>
              </w:tabs>
              <w:spacing w:after="240"/>
              <w:jc w:val="both"/>
              <w:rPr>
                <w:rFonts w:ascii="Arial" w:hAnsi="Arial" w:cs="Arial"/>
                <w:i/>
                <w:szCs w:val="24"/>
              </w:rPr>
            </w:pPr>
            <w:r w:rsidRPr="0015533E">
              <w:rPr>
                <w:rFonts w:ascii="Arial" w:hAnsi="Arial" w:cs="Arial"/>
                <w:szCs w:val="24"/>
              </w:rPr>
              <w:t xml:space="preserve">Note the </w:t>
            </w:r>
            <w:r w:rsidR="005F1299" w:rsidRPr="0015533E">
              <w:rPr>
                <w:rFonts w:ascii="Arial" w:hAnsi="Arial" w:cs="Arial"/>
                <w:b/>
                <w:szCs w:val="24"/>
              </w:rPr>
              <w:t>D</w:t>
            </w:r>
            <w:r w:rsidR="0036607D" w:rsidRPr="0015533E">
              <w:rPr>
                <w:rFonts w:ascii="Arial" w:hAnsi="Arial" w:cs="Arial"/>
                <w:b/>
                <w:szCs w:val="24"/>
              </w:rPr>
              <w:t>raft</w:t>
            </w:r>
            <w:r w:rsidR="0036607D" w:rsidRPr="0015533E">
              <w:rPr>
                <w:rFonts w:ascii="Arial" w:hAnsi="Arial" w:cs="Arial"/>
                <w:szCs w:val="24"/>
              </w:rPr>
              <w:t xml:space="preserve"> Statement of Accounts </w:t>
            </w:r>
            <w:r w:rsidR="00DF1028" w:rsidRPr="0015533E">
              <w:rPr>
                <w:rFonts w:ascii="Arial" w:hAnsi="Arial" w:cs="Arial"/>
                <w:szCs w:val="24"/>
                <w:lang w:val="en-GB"/>
              </w:rPr>
              <w:t xml:space="preserve">for 2021/22 </w:t>
            </w:r>
            <w:r w:rsidR="00655BC0" w:rsidRPr="0015533E">
              <w:rPr>
                <w:rFonts w:ascii="Arial" w:hAnsi="Arial" w:cs="Arial"/>
                <w:szCs w:val="24"/>
              </w:rPr>
              <w:t xml:space="preserve">(Appendix </w:t>
            </w:r>
            <w:r w:rsidR="00684046">
              <w:rPr>
                <w:rFonts w:ascii="Arial" w:hAnsi="Arial" w:cs="Arial"/>
                <w:szCs w:val="24"/>
                <w:lang w:val="en-GB"/>
              </w:rPr>
              <w:t>1</w:t>
            </w:r>
            <w:r w:rsidR="0085777B" w:rsidRPr="0015533E">
              <w:rPr>
                <w:rFonts w:ascii="Arial" w:hAnsi="Arial" w:cs="Arial"/>
                <w:szCs w:val="24"/>
              </w:rPr>
              <w:t>)</w:t>
            </w:r>
          </w:p>
          <w:p w:rsidR="00DF1028" w:rsidRPr="0015533E" w:rsidRDefault="00991831" w:rsidP="008C0229">
            <w:pPr>
              <w:pStyle w:val="Header"/>
              <w:numPr>
                <w:ilvl w:val="0"/>
                <w:numId w:val="4"/>
              </w:numPr>
              <w:tabs>
                <w:tab w:val="clear" w:pos="4153"/>
                <w:tab w:val="clear" w:pos="8306"/>
              </w:tabs>
              <w:spacing w:after="240"/>
              <w:jc w:val="both"/>
              <w:rPr>
                <w:rFonts w:ascii="Arial" w:hAnsi="Arial" w:cs="Arial"/>
                <w:i/>
                <w:szCs w:val="24"/>
              </w:rPr>
            </w:pPr>
            <w:r>
              <w:rPr>
                <w:rFonts w:ascii="Arial" w:hAnsi="Arial" w:cs="Arial"/>
                <w:szCs w:val="24"/>
                <w:lang w:val="en-GB"/>
              </w:rPr>
              <w:t xml:space="preserve">Note the </w:t>
            </w:r>
            <w:r w:rsidR="008C0229">
              <w:rPr>
                <w:rFonts w:ascii="Arial" w:hAnsi="Arial" w:cs="Arial"/>
                <w:szCs w:val="24"/>
                <w:lang w:val="en-GB"/>
              </w:rPr>
              <w:t xml:space="preserve">disbursement of </w:t>
            </w:r>
            <w:r w:rsidR="00DF1028" w:rsidRPr="0015533E">
              <w:rPr>
                <w:rFonts w:ascii="Arial" w:hAnsi="Arial" w:cs="Arial"/>
                <w:szCs w:val="24"/>
                <w:lang w:val="en-GB"/>
              </w:rPr>
              <w:t xml:space="preserve">reserves </w:t>
            </w:r>
            <w:r w:rsidR="008C0229">
              <w:rPr>
                <w:rFonts w:ascii="Arial" w:hAnsi="Arial" w:cs="Arial"/>
                <w:szCs w:val="24"/>
                <w:lang w:val="en-GB"/>
              </w:rPr>
              <w:t>planned for October</w:t>
            </w:r>
          </w:p>
        </w:tc>
      </w:tr>
    </w:tbl>
    <w:p w:rsidR="009F7880" w:rsidRDefault="004C78B6" w:rsidP="00C2799A">
      <w:pPr>
        <w:spacing w:before="480" w:after="120"/>
        <w:jc w:val="both"/>
        <w:rPr>
          <w:rFonts w:ascii="Arial" w:hAnsi="Arial" w:cs="Arial"/>
          <w:b/>
          <w:szCs w:val="24"/>
        </w:rPr>
      </w:pPr>
      <w:r>
        <w:rPr>
          <w:rFonts w:ascii="Arial" w:hAnsi="Arial" w:cs="Arial"/>
          <w:b/>
          <w:szCs w:val="24"/>
          <w:lang w:val="en-US"/>
        </w:rPr>
        <w:t>Introduction</w:t>
      </w:r>
      <w:r w:rsidR="00C526A7" w:rsidRPr="0028083B">
        <w:rPr>
          <w:rFonts w:ascii="Arial" w:hAnsi="Arial" w:cs="Arial"/>
          <w:b/>
          <w:szCs w:val="24"/>
          <w:lang w:val="en-US"/>
        </w:rPr>
        <w:t xml:space="preserve"> </w:t>
      </w:r>
    </w:p>
    <w:p w:rsidR="00DF1028" w:rsidRDefault="00195B45" w:rsidP="0022394C">
      <w:pPr>
        <w:pStyle w:val="ListParagraph"/>
        <w:numPr>
          <w:ilvl w:val="0"/>
          <w:numId w:val="30"/>
        </w:numPr>
        <w:spacing w:after="120"/>
        <w:jc w:val="both"/>
        <w:rPr>
          <w:sz w:val="24"/>
          <w:szCs w:val="24"/>
          <w:lang w:val="en-US"/>
        </w:rPr>
      </w:pPr>
      <w:r w:rsidRPr="00A10A75">
        <w:rPr>
          <w:sz w:val="24"/>
          <w:szCs w:val="24"/>
          <w:lang w:val="en-US"/>
        </w:rPr>
        <w:t>As per last year, the statutory deadline for publishing signed and certified Statement of Accounts has been extended by legislation to the end of November</w:t>
      </w:r>
      <w:r>
        <w:rPr>
          <w:sz w:val="24"/>
          <w:szCs w:val="24"/>
          <w:lang w:val="en-US"/>
        </w:rPr>
        <w:t xml:space="preserve"> to </w:t>
      </w:r>
      <w:proofErr w:type="spellStart"/>
      <w:r>
        <w:rPr>
          <w:sz w:val="24"/>
          <w:szCs w:val="24"/>
          <w:lang w:val="en-US"/>
        </w:rPr>
        <w:t>recognise</w:t>
      </w:r>
      <w:proofErr w:type="spellEnd"/>
      <w:r>
        <w:rPr>
          <w:sz w:val="24"/>
          <w:szCs w:val="24"/>
          <w:lang w:val="en-US"/>
        </w:rPr>
        <w:t xml:space="preserve"> the challenges facing the audit sector. </w:t>
      </w:r>
    </w:p>
    <w:p w:rsidR="00DF1028" w:rsidRDefault="00DF1028" w:rsidP="00DF1028">
      <w:pPr>
        <w:pStyle w:val="ListParagraph"/>
        <w:spacing w:after="120"/>
        <w:ind w:left="360"/>
        <w:jc w:val="both"/>
        <w:rPr>
          <w:sz w:val="24"/>
          <w:szCs w:val="24"/>
          <w:lang w:val="en-US"/>
        </w:rPr>
      </w:pPr>
    </w:p>
    <w:p w:rsidR="00CE0EDB" w:rsidRPr="00CE0EDB" w:rsidRDefault="00195B45" w:rsidP="0022394C">
      <w:pPr>
        <w:pStyle w:val="ListParagraph"/>
        <w:numPr>
          <w:ilvl w:val="0"/>
          <w:numId w:val="30"/>
        </w:numPr>
        <w:spacing w:after="120"/>
        <w:jc w:val="both"/>
        <w:rPr>
          <w:sz w:val="24"/>
          <w:szCs w:val="24"/>
          <w:lang w:val="en-US"/>
        </w:rPr>
      </w:pPr>
      <w:r>
        <w:rPr>
          <w:sz w:val="24"/>
          <w:szCs w:val="24"/>
          <w:lang w:val="en-US"/>
        </w:rPr>
        <w:t>T</w:t>
      </w:r>
      <w:r w:rsidRPr="00A10A75">
        <w:rPr>
          <w:sz w:val="24"/>
          <w:szCs w:val="24"/>
          <w:lang w:val="en-US"/>
        </w:rPr>
        <w:t>he draft 202</w:t>
      </w:r>
      <w:r>
        <w:rPr>
          <w:sz w:val="24"/>
          <w:szCs w:val="24"/>
          <w:lang w:val="en-US"/>
        </w:rPr>
        <w:t>1</w:t>
      </w:r>
      <w:r w:rsidRPr="00A10A75">
        <w:rPr>
          <w:sz w:val="24"/>
          <w:szCs w:val="24"/>
          <w:lang w:val="en-US"/>
        </w:rPr>
        <w:t>/2</w:t>
      </w:r>
      <w:r>
        <w:rPr>
          <w:sz w:val="24"/>
          <w:szCs w:val="24"/>
          <w:lang w:val="en-US"/>
        </w:rPr>
        <w:t>2</w:t>
      </w:r>
      <w:r w:rsidRPr="00A10A75">
        <w:rPr>
          <w:sz w:val="24"/>
          <w:szCs w:val="24"/>
          <w:lang w:val="en-US"/>
        </w:rPr>
        <w:t xml:space="preserve"> accounts were produced as usual in April and were ready for audit by EY, our external auditors </w:t>
      </w:r>
      <w:r>
        <w:rPr>
          <w:sz w:val="24"/>
          <w:szCs w:val="24"/>
          <w:lang w:val="en-US"/>
        </w:rPr>
        <w:t xml:space="preserve">from </w:t>
      </w:r>
      <w:r w:rsidRPr="00A10A75">
        <w:rPr>
          <w:sz w:val="24"/>
          <w:szCs w:val="24"/>
          <w:lang w:val="en-US"/>
        </w:rPr>
        <w:t>May</w:t>
      </w:r>
      <w:r>
        <w:rPr>
          <w:sz w:val="24"/>
          <w:szCs w:val="24"/>
          <w:lang w:val="en-US"/>
        </w:rPr>
        <w:t xml:space="preserve">. </w:t>
      </w:r>
      <w:r w:rsidR="00DF1028" w:rsidRPr="00A10A75">
        <w:rPr>
          <w:sz w:val="24"/>
          <w:szCs w:val="24"/>
          <w:lang w:eastAsia="en-GB"/>
        </w:rPr>
        <w:t xml:space="preserve">EY’s work is in </w:t>
      </w:r>
      <w:r w:rsidR="00CE0EDB">
        <w:rPr>
          <w:sz w:val="24"/>
          <w:szCs w:val="24"/>
          <w:lang w:eastAsia="en-GB"/>
        </w:rPr>
        <w:t>progress and will continue for a few months.</w:t>
      </w:r>
    </w:p>
    <w:p w:rsidR="00CE0EDB" w:rsidRPr="00CE0EDB" w:rsidRDefault="00CE0EDB" w:rsidP="00CE0EDB">
      <w:pPr>
        <w:pStyle w:val="ListParagraph"/>
        <w:rPr>
          <w:sz w:val="24"/>
          <w:szCs w:val="24"/>
          <w:lang w:eastAsia="en-GB"/>
        </w:rPr>
      </w:pPr>
    </w:p>
    <w:p w:rsidR="007F399C" w:rsidRPr="003771CB" w:rsidRDefault="00CE0EDB" w:rsidP="0022394C">
      <w:pPr>
        <w:pStyle w:val="ListParagraph"/>
        <w:numPr>
          <w:ilvl w:val="0"/>
          <w:numId w:val="30"/>
        </w:numPr>
        <w:spacing w:after="120"/>
        <w:jc w:val="both"/>
        <w:rPr>
          <w:sz w:val="24"/>
          <w:szCs w:val="24"/>
          <w:lang w:val="en-US"/>
        </w:rPr>
      </w:pPr>
      <w:r>
        <w:rPr>
          <w:sz w:val="24"/>
          <w:szCs w:val="24"/>
          <w:lang w:eastAsia="en-GB"/>
        </w:rPr>
        <w:t>A</w:t>
      </w:r>
      <w:r w:rsidR="00DF1028" w:rsidRPr="00A10A75">
        <w:rPr>
          <w:sz w:val="24"/>
          <w:szCs w:val="24"/>
          <w:lang w:eastAsia="en-GB"/>
        </w:rPr>
        <w:t xml:space="preserve"> summary of the draft statement of accounts is provided below</w:t>
      </w:r>
      <w:r w:rsidR="00ED6DDE" w:rsidRPr="0022394C">
        <w:rPr>
          <w:sz w:val="24"/>
          <w:szCs w:val="24"/>
          <w:lang w:val="en-US"/>
        </w:rPr>
        <w:t>.</w:t>
      </w:r>
      <w:r w:rsidR="008C3C59">
        <w:rPr>
          <w:sz w:val="24"/>
          <w:szCs w:val="24"/>
          <w:lang w:val="en-US"/>
        </w:rPr>
        <w:t xml:space="preserve"> It should be noted that s</w:t>
      </w:r>
      <w:proofErr w:type="spellStart"/>
      <w:r w:rsidR="008C3C59">
        <w:rPr>
          <w:sz w:val="24"/>
          <w:szCs w:val="24"/>
          <w:lang w:eastAsia="en-GB"/>
        </w:rPr>
        <w:t>ince</w:t>
      </w:r>
      <w:proofErr w:type="spellEnd"/>
      <w:r w:rsidR="008C3C59">
        <w:rPr>
          <w:sz w:val="24"/>
          <w:szCs w:val="24"/>
          <w:lang w:eastAsia="en-GB"/>
        </w:rPr>
        <w:t xml:space="preserve"> producing the draft accounts, the pension scheme have updated their assessment of the pension liability. An error in the calculation of the revaluation reserve has also been identified. Details of these are provided later in this report.</w:t>
      </w:r>
      <w:r w:rsidR="000F05D2">
        <w:rPr>
          <w:sz w:val="24"/>
          <w:szCs w:val="24"/>
          <w:lang w:eastAsia="en-GB"/>
        </w:rPr>
        <w:t xml:space="preserve"> It is common for a limited number of changes to be identified before finalisation of accounts but these are not expected to be material or alter the key messages in any way.</w:t>
      </w:r>
    </w:p>
    <w:p w:rsidR="00DF1028" w:rsidRPr="00A10A75" w:rsidRDefault="00DF1028" w:rsidP="00DF1028">
      <w:pPr>
        <w:autoSpaceDE w:val="0"/>
        <w:autoSpaceDN w:val="0"/>
        <w:adjustRightInd w:val="0"/>
        <w:spacing w:after="120"/>
        <w:jc w:val="both"/>
        <w:rPr>
          <w:rFonts w:ascii="Arial" w:hAnsi="Arial" w:cs="Arial"/>
          <w:szCs w:val="24"/>
          <w:lang w:eastAsia="en-GB"/>
        </w:rPr>
      </w:pPr>
      <w:r w:rsidRPr="00A10A75">
        <w:rPr>
          <w:rFonts w:ascii="Arial" w:hAnsi="Arial" w:cs="Arial"/>
          <w:b/>
          <w:szCs w:val="24"/>
          <w:lang w:eastAsia="en-GB"/>
        </w:rPr>
        <w:t>Statement of Accounts</w:t>
      </w:r>
      <w:r w:rsidRPr="00A10A75">
        <w:rPr>
          <w:rFonts w:ascii="Arial" w:hAnsi="Arial" w:cs="Arial"/>
          <w:szCs w:val="24"/>
          <w:lang w:eastAsia="en-GB"/>
        </w:rPr>
        <w:t xml:space="preserve"> </w:t>
      </w:r>
    </w:p>
    <w:p w:rsidR="00DF1028" w:rsidRPr="00A10A75" w:rsidRDefault="00DF1028" w:rsidP="00DF1028">
      <w:pPr>
        <w:pStyle w:val="ListParagraph"/>
        <w:numPr>
          <w:ilvl w:val="0"/>
          <w:numId w:val="30"/>
        </w:numPr>
        <w:autoSpaceDE w:val="0"/>
        <w:autoSpaceDN w:val="0"/>
        <w:adjustRightInd w:val="0"/>
        <w:spacing w:after="120"/>
        <w:jc w:val="both"/>
        <w:rPr>
          <w:sz w:val="24"/>
          <w:szCs w:val="24"/>
          <w:lang w:eastAsia="en-GB"/>
        </w:rPr>
      </w:pPr>
      <w:r w:rsidRPr="00A10A75">
        <w:rPr>
          <w:sz w:val="24"/>
          <w:szCs w:val="24"/>
          <w:lang w:eastAsia="en-GB"/>
        </w:rPr>
        <w:t xml:space="preserve">The Statement of Accounts can be found in Appendix </w:t>
      </w:r>
      <w:r w:rsidR="00684046">
        <w:rPr>
          <w:sz w:val="24"/>
          <w:szCs w:val="24"/>
          <w:lang w:eastAsia="en-GB"/>
        </w:rPr>
        <w:t>1</w:t>
      </w:r>
      <w:r w:rsidRPr="00A10A75">
        <w:rPr>
          <w:sz w:val="24"/>
          <w:szCs w:val="24"/>
          <w:lang w:eastAsia="en-GB"/>
        </w:rPr>
        <w:t>. The key sections of the draft accounts are explained below:</w:t>
      </w:r>
    </w:p>
    <w:p w:rsidR="00DF1028" w:rsidRPr="00A10A75" w:rsidRDefault="00DF1028" w:rsidP="00DF1028">
      <w:pPr>
        <w:pStyle w:val="ListParagraph"/>
        <w:autoSpaceDE w:val="0"/>
        <w:autoSpaceDN w:val="0"/>
        <w:adjustRightInd w:val="0"/>
        <w:spacing w:after="120"/>
        <w:ind w:left="360"/>
        <w:jc w:val="both"/>
        <w:rPr>
          <w:sz w:val="24"/>
          <w:szCs w:val="24"/>
          <w:lang w:eastAsia="en-GB"/>
        </w:rPr>
      </w:pPr>
    </w:p>
    <w:p w:rsidR="00DF1028" w:rsidRPr="00A10A75" w:rsidRDefault="00DF1028" w:rsidP="00DF1028">
      <w:pPr>
        <w:pStyle w:val="ListParagraph"/>
        <w:numPr>
          <w:ilvl w:val="0"/>
          <w:numId w:val="30"/>
        </w:numPr>
        <w:autoSpaceDE w:val="0"/>
        <w:autoSpaceDN w:val="0"/>
        <w:adjustRightInd w:val="0"/>
        <w:spacing w:after="120"/>
        <w:jc w:val="both"/>
        <w:rPr>
          <w:sz w:val="24"/>
          <w:szCs w:val="24"/>
          <w:lang w:eastAsia="en-GB"/>
        </w:rPr>
      </w:pPr>
      <w:r w:rsidRPr="00A10A75">
        <w:rPr>
          <w:sz w:val="24"/>
          <w:szCs w:val="24"/>
          <w:lang w:eastAsia="en-GB"/>
        </w:rPr>
        <w:lastRenderedPageBreak/>
        <w:t xml:space="preserve">Narrative Statement (page 2) – This section provides background about the Authority’s operations. It also summarises the financial position and performance for the year. </w:t>
      </w:r>
    </w:p>
    <w:p w:rsidR="00DF1028" w:rsidRPr="00A10A75" w:rsidRDefault="00DF1028" w:rsidP="00DF1028">
      <w:pPr>
        <w:pStyle w:val="ListParagraph"/>
        <w:rPr>
          <w:sz w:val="24"/>
          <w:szCs w:val="24"/>
          <w:lang w:eastAsia="en-GB"/>
        </w:rPr>
      </w:pPr>
    </w:p>
    <w:p w:rsidR="00DF1028" w:rsidRPr="00A10A75" w:rsidRDefault="00DF1028" w:rsidP="00DF1028">
      <w:pPr>
        <w:pStyle w:val="ListParagraph"/>
        <w:numPr>
          <w:ilvl w:val="0"/>
          <w:numId w:val="30"/>
        </w:numPr>
        <w:autoSpaceDE w:val="0"/>
        <w:autoSpaceDN w:val="0"/>
        <w:adjustRightInd w:val="0"/>
        <w:spacing w:after="120"/>
        <w:jc w:val="both"/>
        <w:rPr>
          <w:sz w:val="24"/>
          <w:szCs w:val="24"/>
          <w:lang w:eastAsia="en-GB"/>
        </w:rPr>
      </w:pPr>
      <w:r w:rsidRPr="00A10A75">
        <w:rPr>
          <w:sz w:val="24"/>
          <w:szCs w:val="24"/>
          <w:lang w:eastAsia="en-GB"/>
        </w:rPr>
        <w:t>Accounting Policies (page 8) – This section explains the Authority’s key accounting policies. These are long standing and pretty much standard local authority accounting policies which are used in maintaining records and producing the financial statements</w:t>
      </w:r>
    </w:p>
    <w:p w:rsidR="00DF1028" w:rsidRPr="00A10A75" w:rsidRDefault="00DF1028" w:rsidP="00DF1028">
      <w:pPr>
        <w:pStyle w:val="ListParagraph"/>
        <w:rPr>
          <w:sz w:val="24"/>
          <w:szCs w:val="24"/>
          <w:lang w:eastAsia="en-GB"/>
        </w:rPr>
      </w:pPr>
    </w:p>
    <w:p w:rsidR="00DF1028" w:rsidRPr="00A10A75" w:rsidRDefault="00DF1028" w:rsidP="00DF1028">
      <w:pPr>
        <w:pStyle w:val="ListParagraph"/>
        <w:numPr>
          <w:ilvl w:val="0"/>
          <w:numId w:val="30"/>
        </w:numPr>
        <w:autoSpaceDE w:val="0"/>
        <w:autoSpaceDN w:val="0"/>
        <w:adjustRightInd w:val="0"/>
        <w:spacing w:after="120"/>
        <w:jc w:val="both"/>
        <w:rPr>
          <w:sz w:val="24"/>
          <w:szCs w:val="24"/>
          <w:lang w:eastAsia="en-GB"/>
        </w:rPr>
      </w:pPr>
      <w:r w:rsidRPr="00A10A75">
        <w:rPr>
          <w:sz w:val="24"/>
          <w:szCs w:val="24"/>
          <w:lang w:eastAsia="en-GB"/>
        </w:rPr>
        <w:t xml:space="preserve">Statement of Responsibilities for the Statement of Accounts (page 15) - This is a brief statement outlining the Authority’s requirements in relation to the Accounts and the role and responsibility of the Treasurer, principally to ensure the accounts present a true and fair view </w:t>
      </w:r>
    </w:p>
    <w:p w:rsidR="00DF1028" w:rsidRPr="00A10A75" w:rsidRDefault="00DF1028" w:rsidP="00DF1028">
      <w:pPr>
        <w:pStyle w:val="ListParagraph"/>
        <w:autoSpaceDE w:val="0"/>
        <w:autoSpaceDN w:val="0"/>
        <w:adjustRightInd w:val="0"/>
        <w:spacing w:after="120"/>
        <w:ind w:left="360"/>
        <w:jc w:val="both"/>
        <w:rPr>
          <w:sz w:val="24"/>
          <w:szCs w:val="24"/>
          <w:lang w:eastAsia="en-GB"/>
        </w:rPr>
      </w:pPr>
      <w:r w:rsidRPr="00A10A75">
        <w:rPr>
          <w:sz w:val="24"/>
          <w:szCs w:val="24"/>
          <w:lang w:eastAsia="en-GB"/>
        </w:rPr>
        <w:t>of the Authority’s finances. This is where the Treasurer certifies the Statement of Accounts and the Chair signs them on behalf of the Authority.</w:t>
      </w:r>
    </w:p>
    <w:p w:rsidR="00DF1028" w:rsidRPr="00A10A75" w:rsidRDefault="00DF1028" w:rsidP="00DF1028">
      <w:pPr>
        <w:pStyle w:val="ListParagraph"/>
        <w:autoSpaceDE w:val="0"/>
        <w:autoSpaceDN w:val="0"/>
        <w:adjustRightInd w:val="0"/>
        <w:spacing w:after="120"/>
        <w:ind w:left="360"/>
        <w:jc w:val="both"/>
        <w:rPr>
          <w:sz w:val="24"/>
          <w:szCs w:val="24"/>
          <w:lang w:eastAsia="en-GB"/>
        </w:rPr>
      </w:pPr>
    </w:p>
    <w:p w:rsidR="00DF1028" w:rsidRPr="00A10A75" w:rsidRDefault="00DF1028" w:rsidP="00DF1028">
      <w:pPr>
        <w:pStyle w:val="ListParagraph"/>
        <w:numPr>
          <w:ilvl w:val="0"/>
          <w:numId w:val="30"/>
        </w:numPr>
        <w:autoSpaceDE w:val="0"/>
        <w:autoSpaceDN w:val="0"/>
        <w:adjustRightInd w:val="0"/>
        <w:spacing w:after="120"/>
        <w:jc w:val="both"/>
        <w:rPr>
          <w:sz w:val="24"/>
          <w:szCs w:val="24"/>
          <w:lang w:eastAsia="en-GB"/>
        </w:rPr>
      </w:pPr>
      <w:r w:rsidRPr="00A10A75">
        <w:rPr>
          <w:sz w:val="24"/>
          <w:szCs w:val="24"/>
          <w:lang w:eastAsia="en-GB"/>
        </w:rPr>
        <w:t xml:space="preserve">Comprehensive Income and Expenditure Statement (page 17) – This is a core financial statement. It shows the financial performance during the year. The operating performance is </w:t>
      </w:r>
      <w:r w:rsidRPr="00EC3617">
        <w:rPr>
          <w:sz w:val="24"/>
          <w:szCs w:val="24"/>
          <w:lang w:eastAsia="en-GB"/>
        </w:rPr>
        <w:t xml:space="preserve">highlighted in the </w:t>
      </w:r>
      <w:r w:rsidR="00EC3617" w:rsidRPr="00EC3617">
        <w:rPr>
          <w:sz w:val="24"/>
          <w:szCs w:val="24"/>
          <w:lang w:eastAsia="en-GB"/>
        </w:rPr>
        <w:t>surplus</w:t>
      </w:r>
      <w:r w:rsidRPr="00EC3617">
        <w:rPr>
          <w:sz w:val="24"/>
          <w:szCs w:val="24"/>
          <w:lang w:eastAsia="en-GB"/>
        </w:rPr>
        <w:t xml:space="preserve"> on provision of services of £</w:t>
      </w:r>
      <w:r w:rsidR="00EC3617" w:rsidRPr="00EC3617">
        <w:rPr>
          <w:sz w:val="24"/>
          <w:szCs w:val="24"/>
          <w:lang w:eastAsia="en-GB"/>
        </w:rPr>
        <w:t>10.472</w:t>
      </w:r>
      <w:r w:rsidRPr="00EC3617">
        <w:rPr>
          <w:sz w:val="24"/>
          <w:szCs w:val="24"/>
          <w:lang w:eastAsia="en-GB"/>
        </w:rPr>
        <w:t xml:space="preserve"> million.</w:t>
      </w:r>
      <w:r w:rsidR="00F77EEF">
        <w:rPr>
          <w:sz w:val="24"/>
          <w:szCs w:val="24"/>
          <w:lang w:eastAsia="en-GB"/>
        </w:rPr>
        <w:t xml:space="preserve"> </w:t>
      </w:r>
      <w:r w:rsidRPr="00EC3617">
        <w:rPr>
          <w:sz w:val="24"/>
          <w:szCs w:val="24"/>
          <w:lang w:eastAsia="en-GB"/>
        </w:rPr>
        <w:t xml:space="preserve">Following </w:t>
      </w:r>
      <w:r w:rsidR="00EC3617" w:rsidRPr="00EC3617">
        <w:rPr>
          <w:sz w:val="24"/>
          <w:szCs w:val="24"/>
          <w:lang w:eastAsia="en-GB"/>
        </w:rPr>
        <w:t xml:space="preserve">very significant </w:t>
      </w:r>
      <w:r w:rsidRPr="00EC3617">
        <w:rPr>
          <w:sz w:val="24"/>
          <w:szCs w:val="24"/>
          <w:lang w:eastAsia="en-GB"/>
        </w:rPr>
        <w:t>adjustment</w:t>
      </w:r>
      <w:r w:rsidR="00EC3617" w:rsidRPr="00EC3617">
        <w:rPr>
          <w:sz w:val="24"/>
          <w:szCs w:val="24"/>
          <w:lang w:eastAsia="en-GB"/>
        </w:rPr>
        <w:t>s</w:t>
      </w:r>
      <w:r w:rsidRPr="00EC3617">
        <w:rPr>
          <w:sz w:val="24"/>
          <w:szCs w:val="24"/>
          <w:lang w:eastAsia="en-GB"/>
        </w:rPr>
        <w:t xml:space="preserve"> for </w:t>
      </w:r>
      <w:r w:rsidR="00EC3617" w:rsidRPr="00EC3617">
        <w:rPr>
          <w:sz w:val="24"/>
          <w:szCs w:val="24"/>
          <w:lang w:eastAsia="en-GB"/>
        </w:rPr>
        <w:t xml:space="preserve">property valuations and </w:t>
      </w:r>
      <w:r w:rsidRPr="00EC3617">
        <w:rPr>
          <w:sz w:val="24"/>
          <w:szCs w:val="24"/>
          <w:lang w:eastAsia="en-GB"/>
        </w:rPr>
        <w:t xml:space="preserve">a </w:t>
      </w:r>
      <w:r w:rsidR="00EC3617" w:rsidRPr="00EC3617">
        <w:rPr>
          <w:sz w:val="24"/>
          <w:szCs w:val="24"/>
          <w:lang w:eastAsia="en-GB"/>
        </w:rPr>
        <w:t xml:space="preserve">reduction </w:t>
      </w:r>
      <w:r w:rsidRPr="00EC3617">
        <w:rPr>
          <w:sz w:val="24"/>
          <w:szCs w:val="24"/>
          <w:lang w:eastAsia="en-GB"/>
        </w:rPr>
        <w:t>in the pension liability th</w:t>
      </w:r>
      <w:r w:rsidR="00EC3617">
        <w:rPr>
          <w:sz w:val="24"/>
          <w:szCs w:val="24"/>
          <w:lang w:eastAsia="en-GB"/>
        </w:rPr>
        <w:t>is</w:t>
      </w:r>
      <w:r w:rsidRPr="00EC3617">
        <w:rPr>
          <w:sz w:val="24"/>
          <w:szCs w:val="24"/>
          <w:lang w:eastAsia="en-GB"/>
        </w:rPr>
        <w:t xml:space="preserve"> result</w:t>
      </w:r>
      <w:r w:rsidR="00EC3617">
        <w:rPr>
          <w:sz w:val="24"/>
          <w:szCs w:val="24"/>
          <w:lang w:eastAsia="en-GB"/>
        </w:rPr>
        <w:t>s</w:t>
      </w:r>
      <w:r w:rsidRPr="00EC3617">
        <w:rPr>
          <w:sz w:val="24"/>
          <w:szCs w:val="24"/>
          <w:lang w:eastAsia="en-GB"/>
        </w:rPr>
        <w:t xml:space="preserve"> in the total comprehensive expenditure of £</w:t>
      </w:r>
      <w:r w:rsidR="00EC3617" w:rsidRPr="00EC3617">
        <w:rPr>
          <w:sz w:val="24"/>
          <w:szCs w:val="24"/>
          <w:lang w:eastAsia="en-GB"/>
        </w:rPr>
        <w:t>62.421</w:t>
      </w:r>
      <w:r w:rsidRPr="00EC3617">
        <w:rPr>
          <w:sz w:val="24"/>
          <w:szCs w:val="24"/>
          <w:lang w:eastAsia="en-GB"/>
        </w:rPr>
        <w:t xml:space="preserve"> million.</w:t>
      </w:r>
    </w:p>
    <w:p w:rsidR="00DF1028" w:rsidRPr="00A10A75" w:rsidRDefault="00DF1028" w:rsidP="00DF1028">
      <w:pPr>
        <w:pStyle w:val="ListParagraph"/>
        <w:rPr>
          <w:sz w:val="24"/>
          <w:szCs w:val="24"/>
          <w:lang w:eastAsia="en-GB"/>
        </w:rPr>
      </w:pPr>
    </w:p>
    <w:p w:rsidR="00DF1028" w:rsidRPr="00A10A75" w:rsidRDefault="00DF1028" w:rsidP="00DF1028">
      <w:pPr>
        <w:pStyle w:val="ListParagraph"/>
        <w:numPr>
          <w:ilvl w:val="0"/>
          <w:numId w:val="30"/>
        </w:numPr>
        <w:autoSpaceDE w:val="0"/>
        <w:autoSpaceDN w:val="0"/>
        <w:adjustRightInd w:val="0"/>
        <w:spacing w:after="120"/>
        <w:jc w:val="both"/>
        <w:rPr>
          <w:sz w:val="24"/>
          <w:szCs w:val="24"/>
          <w:lang w:eastAsia="en-GB"/>
        </w:rPr>
      </w:pPr>
      <w:r w:rsidRPr="00A10A75">
        <w:rPr>
          <w:sz w:val="24"/>
          <w:szCs w:val="24"/>
          <w:lang w:eastAsia="en-GB"/>
        </w:rPr>
        <w:t xml:space="preserve">Balance Sheet (page 18) – This is another core financial statement. It shows the financial position or strength of the Authority </w:t>
      </w:r>
      <w:r w:rsidRPr="00EC3617">
        <w:rPr>
          <w:sz w:val="24"/>
          <w:szCs w:val="24"/>
          <w:lang w:eastAsia="en-GB"/>
        </w:rPr>
        <w:t>at the end of the year. The overall picture of the balance sheet is strong with a positive net worth of £</w:t>
      </w:r>
      <w:r w:rsidR="00EC3617" w:rsidRPr="00EC3617">
        <w:rPr>
          <w:sz w:val="24"/>
          <w:szCs w:val="24"/>
          <w:lang w:eastAsia="en-GB"/>
        </w:rPr>
        <w:t>78</w:t>
      </w:r>
      <w:r w:rsidRPr="00EC3617">
        <w:rPr>
          <w:sz w:val="24"/>
          <w:szCs w:val="24"/>
          <w:lang w:eastAsia="en-GB"/>
        </w:rPr>
        <w:t>.</w:t>
      </w:r>
      <w:r w:rsidR="00EC3617" w:rsidRPr="00EC3617">
        <w:rPr>
          <w:sz w:val="24"/>
          <w:szCs w:val="24"/>
          <w:lang w:eastAsia="en-GB"/>
        </w:rPr>
        <w:t>007</w:t>
      </w:r>
      <w:r w:rsidRPr="00EC3617">
        <w:rPr>
          <w:sz w:val="24"/>
          <w:szCs w:val="24"/>
          <w:lang w:eastAsia="en-GB"/>
        </w:rPr>
        <w:t xml:space="preserve"> million. Continuing</w:t>
      </w:r>
      <w:r w:rsidRPr="00A10A75">
        <w:rPr>
          <w:sz w:val="24"/>
          <w:szCs w:val="24"/>
          <w:lang w:eastAsia="en-GB"/>
        </w:rPr>
        <w:t xml:space="preserve"> the healthy trend, this means the Authority has more assets than liabilities. </w:t>
      </w:r>
    </w:p>
    <w:p w:rsidR="00DF1028" w:rsidRPr="00A10A75" w:rsidRDefault="00DF1028" w:rsidP="00DF1028">
      <w:pPr>
        <w:pStyle w:val="ListParagraph"/>
        <w:rPr>
          <w:sz w:val="24"/>
          <w:szCs w:val="24"/>
          <w:lang w:eastAsia="en-GB"/>
        </w:rPr>
      </w:pPr>
    </w:p>
    <w:p w:rsidR="00DF1028" w:rsidRPr="00A10A75" w:rsidRDefault="00DF1028" w:rsidP="00DF1028">
      <w:pPr>
        <w:pStyle w:val="ListParagraph"/>
        <w:numPr>
          <w:ilvl w:val="0"/>
          <w:numId w:val="30"/>
        </w:numPr>
        <w:autoSpaceDE w:val="0"/>
        <w:autoSpaceDN w:val="0"/>
        <w:adjustRightInd w:val="0"/>
        <w:spacing w:after="120"/>
        <w:jc w:val="both"/>
        <w:rPr>
          <w:sz w:val="24"/>
          <w:szCs w:val="24"/>
          <w:lang w:eastAsia="en-GB"/>
        </w:rPr>
      </w:pPr>
      <w:r w:rsidRPr="00A10A75">
        <w:rPr>
          <w:sz w:val="24"/>
          <w:szCs w:val="24"/>
          <w:lang w:eastAsia="en-GB"/>
        </w:rPr>
        <w:t xml:space="preserve">Notes to the Core Financial Statements (pages 22 – 42) – these provide details, breakdown and analyses in accordance with various disclosure requirements for most of the </w:t>
      </w:r>
      <w:r w:rsidR="004F7981">
        <w:rPr>
          <w:sz w:val="24"/>
          <w:szCs w:val="24"/>
          <w:lang w:eastAsia="en-GB"/>
        </w:rPr>
        <w:t>items identified in the above mentioned two</w:t>
      </w:r>
      <w:r w:rsidRPr="00A10A75">
        <w:rPr>
          <w:sz w:val="24"/>
          <w:szCs w:val="24"/>
          <w:lang w:eastAsia="en-GB"/>
        </w:rPr>
        <w:t xml:space="preserve"> core statements.</w:t>
      </w:r>
    </w:p>
    <w:p w:rsidR="00DF1028" w:rsidRPr="00A10A75" w:rsidRDefault="00DF1028" w:rsidP="00DF1028">
      <w:pPr>
        <w:pStyle w:val="ListParagraph"/>
        <w:rPr>
          <w:sz w:val="24"/>
          <w:szCs w:val="24"/>
          <w:lang w:eastAsia="en-GB"/>
        </w:rPr>
      </w:pPr>
    </w:p>
    <w:p w:rsidR="00DF1028" w:rsidRPr="00A10A75" w:rsidRDefault="00DF1028" w:rsidP="00DF1028">
      <w:pPr>
        <w:pStyle w:val="ListParagraph"/>
        <w:numPr>
          <w:ilvl w:val="0"/>
          <w:numId w:val="30"/>
        </w:numPr>
        <w:autoSpaceDE w:val="0"/>
        <w:autoSpaceDN w:val="0"/>
        <w:adjustRightInd w:val="0"/>
        <w:spacing w:after="120"/>
        <w:jc w:val="both"/>
        <w:rPr>
          <w:sz w:val="24"/>
          <w:szCs w:val="24"/>
          <w:lang w:eastAsia="en-GB"/>
        </w:rPr>
      </w:pPr>
      <w:r w:rsidRPr="00A10A75">
        <w:rPr>
          <w:sz w:val="24"/>
          <w:szCs w:val="24"/>
          <w:lang w:eastAsia="en-GB"/>
        </w:rPr>
        <w:t xml:space="preserve">Annual Governance Statement (page 43) – This is a key statement within the Accounts that outlines the Authority’s view of the effectiveness of its governance and internal control framework. The statement identifies the Authority’s duties and lists the main elements of the corporate governance framework most of which are reported to Authority meetings during the year. </w:t>
      </w:r>
    </w:p>
    <w:p w:rsidR="00DF1028" w:rsidRPr="00A10A75" w:rsidRDefault="00DF1028" w:rsidP="00DF1028">
      <w:pPr>
        <w:pStyle w:val="ListParagraph"/>
        <w:rPr>
          <w:sz w:val="24"/>
          <w:szCs w:val="24"/>
          <w:lang w:eastAsia="en-GB"/>
        </w:rPr>
      </w:pPr>
    </w:p>
    <w:p w:rsidR="00DF1028" w:rsidRPr="00A10A75" w:rsidRDefault="00DF1028" w:rsidP="00DF1028">
      <w:pPr>
        <w:pStyle w:val="ListParagraph"/>
        <w:numPr>
          <w:ilvl w:val="0"/>
          <w:numId w:val="30"/>
        </w:numPr>
        <w:autoSpaceDE w:val="0"/>
        <w:autoSpaceDN w:val="0"/>
        <w:adjustRightInd w:val="0"/>
        <w:spacing w:after="120"/>
        <w:jc w:val="both"/>
        <w:rPr>
          <w:sz w:val="24"/>
          <w:szCs w:val="24"/>
          <w:lang w:eastAsia="en-GB"/>
        </w:rPr>
      </w:pPr>
      <w:r w:rsidRPr="00A10A75">
        <w:rPr>
          <w:sz w:val="24"/>
          <w:szCs w:val="24"/>
          <w:lang w:eastAsia="en-GB"/>
        </w:rPr>
        <w:t>Independent Auditors Report (page 46) – This provides our external auditor’s opinion and confirms the accounts present a true and fair view of the Authority’s finances. The opinion will be per their report and the statement will be updated for the latest EY template once they complete their work.</w:t>
      </w:r>
    </w:p>
    <w:p w:rsidR="00DF1028" w:rsidRDefault="00DF1028" w:rsidP="00B27C91">
      <w:pPr>
        <w:autoSpaceDE w:val="0"/>
        <w:autoSpaceDN w:val="0"/>
        <w:adjustRightInd w:val="0"/>
        <w:jc w:val="both"/>
        <w:rPr>
          <w:rFonts w:ascii="Arial" w:hAnsi="Arial" w:cs="Arial"/>
          <w:b/>
          <w:szCs w:val="24"/>
          <w:lang w:eastAsia="en-GB"/>
        </w:rPr>
      </w:pPr>
    </w:p>
    <w:p w:rsidR="00042D9A" w:rsidRPr="00042D9A" w:rsidRDefault="00042D9A" w:rsidP="00BC1677">
      <w:pPr>
        <w:autoSpaceDE w:val="0"/>
        <w:autoSpaceDN w:val="0"/>
        <w:adjustRightInd w:val="0"/>
        <w:spacing w:after="120"/>
        <w:jc w:val="both"/>
        <w:rPr>
          <w:rFonts w:ascii="Arial" w:hAnsi="Arial" w:cs="Arial"/>
          <w:b/>
          <w:szCs w:val="24"/>
          <w:lang w:eastAsia="en-GB"/>
        </w:rPr>
      </w:pPr>
      <w:r w:rsidRPr="00042D9A">
        <w:rPr>
          <w:rFonts w:ascii="Arial" w:hAnsi="Arial" w:cs="Arial"/>
          <w:b/>
          <w:szCs w:val="24"/>
          <w:lang w:eastAsia="en-GB"/>
        </w:rPr>
        <w:t>Provisional out-turn</w:t>
      </w:r>
      <w:r w:rsidR="00C2799A">
        <w:rPr>
          <w:rFonts w:ascii="Arial" w:hAnsi="Arial" w:cs="Arial"/>
          <w:b/>
          <w:szCs w:val="24"/>
          <w:lang w:eastAsia="en-GB"/>
        </w:rPr>
        <w:t xml:space="preserve"> </w:t>
      </w:r>
      <w:r w:rsidR="00C2799A" w:rsidRPr="00042D9A">
        <w:rPr>
          <w:rFonts w:ascii="Arial" w:hAnsi="Arial" w:cs="Arial"/>
          <w:b/>
          <w:szCs w:val="24"/>
          <w:lang w:eastAsia="en-GB"/>
        </w:rPr>
        <w:t>2</w:t>
      </w:r>
      <w:r w:rsidR="00F92B0E">
        <w:rPr>
          <w:rFonts w:ascii="Arial" w:hAnsi="Arial" w:cs="Arial"/>
          <w:b/>
          <w:szCs w:val="24"/>
          <w:lang w:eastAsia="en-GB"/>
        </w:rPr>
        <w:t>021/22</w:t>
      </w:r>
    </w:p>
    <w:p w:rsidR="002638FA" w:rsidRPr="008C0229" w:rsidRDefault="00552CEB" w:rsidP="00682C50">
      <w:pPr>
        <w:pStyle w:val="ListParagraph"/>
        <w:numPr>
          <w:ilvl w:val="0"/>
          <w:numId w:val="30"/>
        </w:numPr>
        <w:autoSpaceDE w:val="0"/>
        <w:autoSpaceDN w:val="0"/>
        <w:adjustRightInd w:val="0"/>
        <w:spacing w:after="120"/>
        <w:ind w:left="170"/>
        <w:jc w:val="both"/>
        <w:rPr>
          <w:szCs w:val="24"/>
          <w:lang w:eastAsia="en-GB"/>
        </w:rPr>
      </w:pPr>
      <w:r w:rsidRPr="00B27C91">
        <w:rPr>
          <w:sz w:val="24"/>
          <w:szCs w:val="24"/>
          <w:lang w:eastAsia="en-GB"/>
        </w:rPr>
        <w:t>The</w:t>
      </w:r>
      <w:r w:rsidR="002E5D16" w:rsidRPr="00B27C91">
        <w:rPr>
          <w:sz w:val="24"/>
          <w:szCs w:val="24"/>
          <w:lang w:eastAsia="en-GB"/>
        </w:rPr>
        <w:t xml:space="preserve"> </w:t>
      </w:r>
      <w:r w:rsidR="00C2799A" w:rsidRPr="00B27C91">
        <w:rPr>
          <w:sz w:val="24"/>
          <w:szCs w:val="24"/>
          <w:lang w:eastAsia="en-GB"/>
        </w:rPr>
        <w:t xml:space="preserve">financial </w:t>
      </w:r>
      <w:r w:rsidR="002E5D16" w:rsidRPr="00B27C91">
        <w:rPr>
          <w:sz w:val="24"/>
          <w:szCs w:val="24"/>
          <w:lang w:eastAsia="en-GB"/>
        </w:rPr>
        <w:t xml:space="preserve">performance during </w:t>
      </w:r>
      <w:r w:rsidR="00F92B0E" w:rsidRPr="00B27C91">
        <w:rPr>
          <w:sz w:val="24"/>
          <w:szCs w:val="24"/>
          <w:lang w:eastAsia="en-GB"/>
        </w:rPr>
        <w:t>2021/22</w:t>
      </w:r>
      <w:r w:rsidR="002E5D16" w:rsidRPr="00B27C91">
        <w:rPr>
          <w:sz w:val="24"/>
          <w:szCs w:val="24"/>
          <w:lang w:eastAsia="en-GB"/>
        </w:rPr>
        <w:t xml:space="preserve"> is provided </w:t>
      </w:r>
      <w:r w:rsidR="00C2799A" w:rsidRPr="00B27C91">
        <w:rPr>
          <w:sz w:val="24"/>
          <w:szCs w:val="24"/>
          <w:lang w:eastAsia="en-GB"/>
        </w:rPr>
        <w:t xml:space="preserve">in the table </w:t>
      </w:r>
      <w:r w:rsidR="00B27C91" w:rsidRPr="00B27C91">
        <w:rPr>
          <w:sz w:val="24"/>
          <w:szCs w:val="24"/>
          <w:lang w:eastAsia="en-GB"/>
        </w:rPr>
        <w:t xml:space="preserve">below </w:t>
      </w:r>
      <w:r w:rsidR="00275C91" w:rsidRPr="00B27C91">
        <w:rPr>
          <w:sz w:val="24"/>
          <w:szCs w:val="24"/>
          <w:lang w:eastAsia="en-GB"/>
        </w:rPr>
        <w:t xml:space="preserve">and compares the actual performance to the budgeted level in </w:t>
      </w:r>
      <w:r w:rsidR="00EC3617" w:rsidRPr="00B27C91">
        <w:rPr>
          <w:sz w:val="24"/>
          <w:szCs w:val="24"/>
          <w:lang w:eastAsia="en-GB"/>
        </w:rPr>
        <w:t xml:space="preserve">a more familiar budget monitoring </w:t>
      </w:r>
      <w:r w:rsidR="00275C91" w:rsidRPr="00B27C91">
        <w:rPr>
          <w:sz w:val="24"/>
          <w:szCs w:val="24"/>
          <w:lang w:eastAsia="en-GB"/>
        </w:rPr>
        <w:t>format</w:t>
      </w:r>
      <w:r w:rsidR="00EC3617" w:rsidRPr="00B27C91">
        <w:rPr>
          <w:sz w:val="24"/>
          <w:szCs w:val="24"/>
          <w:lang w:eastAsia="en-GB"/>
        </w:rPr>
        <w:t xml:space="preserve"> which groups spends in an operational way</w:t>
      </w:r>
      <w:r w:rsidR="00C2799A" w:rsidRPr="00B27C91">
        <w:rPr>
          <w:sz w:val="24"/>
          <w:szCs w:val="24"/>
          <w:lang w:eastAsia="en-GB"/>
        </w:rPr>
        <w:t>.</w:t>
      </w:r>
      <w:r w:rsidR="002E5D16" w:rsidRPr="00B27C91">
        <w:rPr>
          <w:sz w:val="24"/>
          <w:szCs w:val="24"/>
          <w:lang w:eastAsia="en-GB"/>
        </w:rPr>
        <w:t xml:space="preserve"> </w:t>
      </w:r>
    </w:p>
    <w:p w:rsidR="008C0229" w:rsidRDefault="008C0229" w:rsidP="008C0229">
      <w:pPr>
        <w:autoSpaceDE w:val="0"/>
        <w:autoSpaceDN w:val="0"/>
        <w:adjustRightInd w:val="0"/>
        <w:spacing w:after="120"/>
        <w:jc w:val="both"/>
        <w:rPr>
          <w:szCs w:val="24"/>
          <w:lang w:eastAsia="en-GB"/>
        </w:rPr>
      </w:pPr>
    </w:p>
    <w:p w:rsidR="008C0229" w:rsidRPr="008C0229" w:rsidRDefault="008C0229" w:rsidP="008C0229">
      <w:pPr>
        <w:autoSpaceDE w:val="0"/>
        <w:autoSpaceDN w:val="0"/>
        <w:adjustRightInd w:val="0"/>
        <w:spacing w:after="120"/>
        <w:jc w:val="both"/>
        <w:rPr>
          <w:szCs w:val="24"/>
          <w:lang w:eastAsia="en-GB"/>
        </w:rPr>
      </w:pPr>
    </w:p>
    <w:tbl>
      <w:tblPr>
        <w:tblW w:w="0" w:type="auto"/>
        <w:tblInd w:w="959" w:type="dxa"/>
        <w:tblLook w:val="04A0" w:firstRow="1" w:lastRow="0" w:firstColumn="1" w:lastColumn="0" w:noHBand="0" w:noVBand="1"/>
      </w:tblPr>
      <w:tblGrid>
        <w:gridCol w:w="4678"/>
        <w:gridCol w:w="1559"/>
        <w:gridCol w:w="1559"/>
        <w:gridCol w:w="1418"/>
      </w:tblGrid>
      <w:tr w:rsidR="002E5D16" w:rsidRPr="00323EA8" w:rsidTr="00605186">
        <w:tc>
          <w:tcPr>
            <w:tcW w:w="4678" w:type="dxa"/>
          </w:tcPr>
          <w:p w:rsidR="002E5D16" w:rsidRPr="00323EA8" w:rsidRDefault="00C6622F" w:rsidP="00F92B0E">
            <w:pPr>
              <w:autoSpaceDE w:val="0"/>
              <w:autoSpaceDN w:val="0"/>
              <w:adjustRightInd w:val="0"/>
              <w:spacing w:after="120"/>
              <w:rPr>
                <w:rFonts w:ascii="Arial" w:hAnsi="Arial" w:cs="Arial"/>
                <w:b/>
                <w:szCs w:val="24"/>
                <w:lang w:eastAsia="en-GB"/>
              </w:rPr>
            </w:pPr>
            <w:r w:rsidRPr="00323EA8">
              <w:rPr>
                <w:rFonts w:ascii="Arial" w:hAnsi="Arial" w:cs="Arial"/>
                <w:b/>
                <w:szCs w:val="24"/>
                <w:lang w:eastAsia="en-GB"/>
              </w:rPr>
              <w:lastRenderedPageBreak/>
              <w:t xml:space="preserve">Financial Performance </w:t>
            </w:r>
            <w:r w:rsidR="00F92B0E" w:rsidRPr="00323EA8">
              <w:rPr>
                <w:rFonts w:ascii="Arial" w:hAnsi="Arial" w:cs="Arial"/>
                <w:b/>
                <w:szCs w:val="24"/>
                <w:lang w:eastAsia="en-GB"/>
              </w:rPr>
              <w:t>2021/22</w:t>
            </w:r>
          </w:p>
        </w:tc>
        <w:tc>
          <w:tcPr>
            <w:tcW w:w="1559" w:type="dxa"/>
          </w:tcPr>
          <w:p w:rsidR="002E5D16" w:rsidRPr="00323EA8" w:rsidRDefault="002E5D16" w:rsidP="000B484C">
            <w:pPr>
              <w:autoSpaceDE w:val="0"/>
              <w:autoSpaceDN w:val="0"/>
              <w:adjustRightInd w:val="0"/>
              <w:spacing w:after="120"/>
              <w:jc w:val="right"/>
              <w:rPr>
                <w:rFonts w:ascii="Arial" w:hAnsi="Arial" w:cs="Arial"/>
                <w:b/>
                <w:szCs w:val="24"/>
                <w:lang w:eastAsia="en-GB"/>
              </w:rPr>
            </w:pPr>
            <w:r w:rsidRPr="00323EA8">
              <w:rPr>
                <w:rFonts w:ascii="Arial" w:hAnsi="Arial" w:cs="Arial"/>
                <w:b/>
                <w:szCs w:val="24"/>
                <w:lang w:eastAsia="en-GB"/>
              </w:rPr>
              <w:t>Budget £000s</w:t>
            </w:r>
          </w:p>
        </w:tc>
        <w:tc>
          <w:tcPr>
            <w:tcW w:w="1559" w:type="dxa"/>
          </w:tcPr>
          <w:p w:rsidR="002E5D16" w:rsidRPr="00323EA8" w:rsidRDefault="002E5D16" w:rsidP="000B484C">
            <w:pPr>
              <w:autoSpaceDE w:val="0"/>
              <w:autoSpaceDN w:val="0"/>
              <w:adjustRightInd w:val="0"/>
              <w:spacing w:after="120"/>
              <w:jc w:val="right"/>
              <w:rPr>
                <w:rFonts w:ascii="Arial" w:hAnsi="Arial" w:cs="Arial"/>
                <w:b/>
                <w:szCs w:val="24"/>
                <w:lang w:eastAsia="en-GB"/>
              </w:rPr>
            </w:pPr>
            <w:r w:rsidRPr="00323EA8">
              <w:rPr>
                <w:rFonts w:ascii="Arial" w:hAnsi="Arial" w:cs="Arial"/>
                <w:b/>
                <w:szCs w:val="24"/>
                <w:lang w:eastAsia="en-GB"/>
              </w:rPr>
              <w:t>Actual   £000s</w:t>
            </w:r>
          </w:p>
        </w:tc>
        <w:tc>
          <w:tcPr>
            <w:tcW w:w="1418" w:type="dxa"/>
          </w:tcPr>
          <w:p w:rsidR="002E5D16" w:rsidRPr="00323EA8" w:rsidRDefault="002E5D16" w:rsidP="00605186">
            <w:pPr>
              <w:autoSpaceDE w:val="0"/>
              <w:autoSpaceDN w:val="0"/>
              <w:adjustRightInd w:val="0"/>
              <w:spacing w:after="120"/>
              <w:jc w:val="right"/>
              <w:rPr>
                <w:rFonts w:ascii="Arial" w:hAnsi="Arial" w:cs="Arial"/>
                <w:b/>
                <w:szCs w:val="24"/>
                <w:lang w:eastAsia="en-GB"/>
              </w:rPr>
            </w:pPr>
            <w:r w:rsidRPr="00323EA8">
              <w:rPr>
                <w:rFonts w:ascii="Arial" w:hAnsi="Arial" w:cs="Arial"/>
                <w:b/>
                <w:szCs w:val="24"/>
                <w:lang w:eastAsia="en-GB"/>
              </w:rPr>
              <w:t>Variance £000s</w:t>
            </w:r>
          </w:p>
        </w:tc>
      </w:tr>
      <w:tr w:rsidR="002E5D16" w:rsidRPr="00323EA8" w:rsidTr="00605186">
        <w:tc>
          <w:tcPr>
            <w:tcW w:w="4678" w:type="dxa"/>
          </w:tcPr>
          <w:p w:rsidR="002E5D16" w:rsidRPr="00323EA8" w:rsidRDefault="002E5D16" w:rsidP="00605186">
            <w:pPr>
              <w:autoSpaceDE w:val="0"/>
              <w:autoSpaceDN w:val="0"/>
              <w:adjustRightInd w:val="0"/>
              <w:spacing w:after="120"/>
              <w:rPr>
                <w:rFonts w:ascii="Arial" w:hAnsi="Arial" w:cs="Arial"/>
                <w:b/>
                <w:szCs w:val="24"/>
                <w:lang w:eastAsia="en-GB"/>
              </w:rPr>
            </w:pPr>
            <w:r w:rsidRPr="00323EA8">
              <w:rPr>
                <w:rFonts w:ascii="Arial" w:hAnsi="Arial" w:cs="Arial"/>
                <w:b/>
                <w:szCs w:val="24"/>
                <w:lang w:eastAsia="en-GB"/>
              </w:rPr>
              <w:t>Expenditure</w:t>
            </w:r>
          </w:p>
        </w:tc>
        <w:tc>
          <w:tcPr>
            <w:tcW w:w="1559" w:type="dxa"/>
          </w:tcPr>
          <w:p w:rsidR="002E5D16" w:rsidRPr="00323EA8" w:rsidRDefault="002E5D16" w:rsidP="00605186">
            <w:pPr>
              <w:autoSpaceDE w:val="0"/>
              <w:autoSpaceDN w:val="0"/>
              <w:adjustRightInd w:val="0"/>
              <w:spacing w:after="120"/>
              <w:jc w:val="right"/>
              <w:rPr>
                <w:rFonts w:ascii="Arial" w:hAnsi="Arial" w:cs="Arial"/>
                <w:b/>
                <w:szCs w:val="24"/>
                <w:lang w:eastAsia="en-GB"/>
              </w:rPr>
            </w:pPr>
          </w:p>
        </w:tc>
        <w:tc>
          <w:tcPr>
            <w:tcW w:w="1559" w:type="dxa"/>
          </w:tcPr>
          <w:p w:rsidR="002E5D16" w:rsidRPr="00323EA8" w:rsidRDefault="002E5D16" w:rsidP="00605186">
            <w:pPr>
              <w:autoSpaceDE w:val="0"/>
              <w:autoSpaceDN w:val="0"/>
              <w:adjustRightInd w:val="0"/>
              <w:spacing w:after="120"/>
              <w:jc w:val="right"/>
              <w:rPr>
                <w:rFonts w:ascii="Arial" w:hAnsi="Arial" w:cs="Arial"/>
                <w:b/>
                <w:szCs w:val="24"/>
                <w:lang w:eastAsia="en-GB"/>
              </w:rPr>
            </w:pPr>
          </w:p>
        </w:tc>
        <w:tc>
          <w:tcPr>
            <w:tcW w:w="1418" w:type="dxa"/>
          </w:tcPr>
          <w:p w:rsidR="002E5D16" w:rsidRPr="00323EA8" w:rsidRDefault="002E5D16" w:rsidP="00605186">
            <w:pPr>
              <w:autoSpaceDE w:val="0"/>
              <w:autoSpaceDN w:val="0"/>
              <w:adjustRightInd w:val="0"/>
              <w:spacing w:after="120"/>
              <w:jc w:val="right"/>
              <w:rPr>
                <w:rFonts w:ascii="Arial" w:hAnsi="Arial" w:cs="Arial"/>
                <w:b/>
                <w:szCs w:val="24"/>
                <w:lang w:eastAsia="en-GB"/>
              </w:rPr>
            </w:pPr>
          </w:p>
        </w:tc>
      </w:tr>
      <w:tr w:rsidR="002E5D16" w:rsidRPr="00323EA8" w:rsidTr="00605186">
        <w:tc>
          <w:tcPr>
            <w:tcW w:w="4678" w:type="dxa"/>
          </w:tcPr>
          <w:p w:rsidR="002E5D16" w:rsidRPr="00323EA8" w:rsidRDefault="002E5D16" w:rsidP="00605186">
            <w:pPr>
              <w:autoSpaceDE w:val="0"/>
              <w:autoSpaceDN w:val="0"/>
              <w:adjustRightInd w:val="0"/>
              <w:spacing w:after="120"/>
              <w:rPr>
                <w:rFonts w:ascii="Arial" w:hAnsi="Arial" w:cs="Arial"/>
                <w:szCs w:val="24"/>
                <w:lang w:eastAsia="en-GB"/>
              </w:rPr>
            </w:pPr>
            <w:r w:rsidRPr="00323EA8">
              <w:rPr>
                <w:rFonts w:ascii="Arial" w:hAnsi="Arial" w:cs="Arial"/>
                <w:szCs w:val="24"/>
                <w:lang w:eastAsia="en-GB"/>
              </w:rPr>
              <w:t>Employees</w:t>
            </w:r>
          </w:p>
        </w:tc>
        <w:tc>
          <w:tcPr>
            <w:tcW w:w="1559" w:type="dxa"/>
          </w:tcPr>
          <w:p w:rsidR="002E5D16" w:rsidRPr="00323EA8" w:rsidRDefault="00C138AC" w:rsidP="000B484C">
            <w:pPr>
              <w:autoSpaceDE w:val="0"/>
              <w:autoSpaceDN w:val="0"/>
              <w:adjustRightInd w:val="0"/>
              <w:spacing w:after="120"/>
              <w:jc w:val="right"/>
              <w:rPr>
                <w:rFonts w:ascii="Arial" w:hAnsi="Arial" w:cs="Arial"/>
                <w:szCs w:val="24"/>
                <w:lang w:eastAsia="en-GB"/>
              </w:rPr>
            </w:pPr>
            <w:r w:rsidRPr="00323EA8">
              <w:rPr>
                <w:rFonts w:ascii="Arial" w:hAnsi="Arial" w:cs="Arial"/>
                <w:szCs w:val="24"/>
                <w:lang w:eastAsia="en-GB"/>
              </w:rPr>
              <w:t>2,252</w:t>
            </w:r>
          </w:p>
        </w:tc>
        <w:tc>
          <w:tcPr>
            <w:tcW w:w="1559" w:type="dxa"/>
          </w:tcPr>
          <w:p w:rsidR="002E5D16" w:rsidRPr="00323EA8" w:rsidRDefault="006E6694" w:rsidP="006E6694">
            <w:pPr>
              <w:autoSpaceDE w:val="0"/>
              <w:autoSpaceDN w:val="0"/>
              <w:adjustRightInd w:val="0"/>
              <w:spacing w:after="120"/>
              <w:jc w:val="right"/>
              <w:rPr>
                <w:rFonts w:ascii="Arial" w:hAnsi="Arial" w:cs="Arial"/>
                <w:szCs w:val="24"/>
                <w:lang w:eastAsia="en-GB"/>
              </w:rPr>
            </w:pPr>
            <w:r w:rsidRPr="00323EA8">
              <w:rPr>
                <w:rFonts w:ascii="Arial" w:hAnsi="Arial" w:cs="Arial"/>
                <w:szCs w:val="24"/>
                <w:lang w:eastAsia="en-GB"/>
              </w:rPr>
              <w:t>3,067</w:t>
            </w:r>
          </w:p>
        </w:tc>
        <w:tc>
          <w:tcPr>
            <w:tcW w:w="1418" w:type="dxa"/>
          </w:tcPr>
          <w:p w:rsidR="002E5D16" w:rsidRPr="00323EA8" w:rsidRDefault="00162372" w:rsidP="00323EA8">
            <w:pPr>
              <w:autoSpaceDE w:val="0"/>
              <w:autoSpaceDN w:val="0"/>
              <w:adjustRightInd w:val="0"/>
              <w:spacing w:after="120"/>
              <w:jc w:val="right"/>
              <w:rPr>
                <w:rFonts w:ascii="Arial" w:hAnsi="Arial" w:cs="Arial"/>
                <w:szCs w:val="24"/>
                <w:lang w:eastAsia="en-GB"/>
              </w:rPr>
            </w:pPr>
            <w:r w:rsidRPr="00323EA8">
              <w:rPr>
                <w:rFonts w:ascii="Arial" w:hAnsi="Arial" w:cs="Arial"/>
                <w:szCs w:val="24"/>
                <w:lang w:eastAsia="en-GB"/>
              </w:rPr>
              <w:t>8</w:t>
            </w:r>
            <w:r w:rsidR="007816C6" w:rsidRPr="00323EA8">
              <w:rPr>
                <w:rFonts w:ascii="Arial" w:hAnsi="Arial" w:cs="Arial"/>
                <w:szCs w:val="24"/>
                <w:lang w:eastAsia="en-GB"/>
              </w:rPr>
              <w:t>15</w:t>
            </w:r>
          </w:p>
        </w:tc>
      </w:tr>
      <w:tr w:rsidR="002E5D16" w:rsidRPr="00323EA8" w:rsidTr="00605186">
        <w:tc>
          <w:tcPr>
            <w:tcW w:w="4678" w:type="dxa"/>
          </w:tcPr>
          <w:p w:rsidR="002E5D16" w:rsidRPr="00323EA8" w:rsidRDefault="002E5D16" w:rsidP="00605186">
            <w:pPr>
              <w:autoSpaceDE w:val="0"/>
              <w:autoSpaceDN w:val="0"/>
              <w:adjustRightInd w:val="0"/>
              <w:spacing w:after="120"/>
              <w:rPr>
                <w:rFonts w:ascii="Arial" w:hAnsi="Arial" w:cs="Arial"/>
                <w:szCs w:val="24"/>
                <w:lang w:eastAsia="en-GB"/>
              </w:rPr>
            </w:pPr>
            <w:r w:rsidRPr="00323EA8">
              <w:rPr>
                <w:rFonts w:ascii="Arial" w:hAnsi="Arial" w:cs="Arial"/>
                <w:szCs w:val="24"/>
                <w:lang w:eastAsia="en-GB"/>
              </w:rPr>
              <w:t>Premises</w:t>
            </w:r>
          </w:p>
        </w:tc>
        <w:tc>
          <w:tcPr>
            <w:tcW w:w="1559" w:type="dxa"/>
          </w:tcPr>
          <w:p w:rsidR="002E5D16" w:rsidRPr="00323EA8" w:rsidRDefault="00C138AC" w:rsidP="00605186">
            <w:pPr>
              <w:autoSpaceDE w:val="0"/>
              <w:autoSpaceDN w:val="0"/>
              <w:adjustRightInd w:val="0"/>
              <w:spacing w:after="120"/>
              <w:jc w:val="right"/>
              <w:rPr>
                <w:rFonts w:ascii="Arial" w:hAnsi="Arial" w:cs="Arial"/>
                <w:szCs w:val="24"/>
                <w:lang w:eastAsia="en-GB"/>
              </w:rPr>
            </w:pPr>
            <w:r w:rsidRPr="00323EA8">
              <w:rPr>
                <w:rFonts w:ascii="Arial" w:hAnsi="Arial" w:cs="Arial"/>
                <w:szCs w:val="24"/>
                <w:lang w:eastAsia="en-GB"/>
              </w:rPr>
              <w:t>2,620</w:t>
            </w:r>
          </w:p>
        </w:tc>
        <w:tc>
          <w:tcPr>
            <w:tcW w:w="1559" w:type="dxa"/>
          </w:tcPr>
          <w:p w:rsidR="002E5D16" w:rsidRPr="00323EA8" w:rsidRDefault="006E6694" w:rsidP="00605186">
            <w:pPr>
              <w:autoSpaceDE w:val="0"/>
              <w:autoSpaceDN w:val="0"/>
              <w:adjustRightInd w:val="0"/>
              <w:spacing w:after="120"/>
              <w:jc w:val="right"/>
              <w:rPr>
                <w:rFonts w:ascii="Arial" w:hAnsi="Arial" w:cs="Arial"/>
                <w:szCs w:val="24"/>
                <w:lang w:eastAsia="en-GB"/>
              </w:rPr>
            </w:pPr>
            <w:r w:rsidRPr="00323EA8">
              <w:rPr>
                <w:rFonts w:ascii="Arial" w:hAnsi="Arial" w:cs="Arial"/>
                <w:szCs w:val="24"/>
                <w:lang w:eastAsia="en-GB"/>
              </w:rPr>
              <w:t>2,508</w:t>
            </w:r>
          </w:p>
        </w:tc>
        <w:tc>
          <w:tcPr>
            <w:tcW w:w="1418" w:type="dxa"/>
          </w:tcPr>
          <w:p w:rsidR="002E5D16" w:rsidRPr="00323EA8" w:rsidRDefault="00323EA8" w:rsidP="00605186">
            <w:pPr>
              <w:autoSpaceDE w:val="0"/>
              <w:autoSpaceDN w:val="0"/>
              <w:adjustRightInd w:val="0"/>
              <w:spacing w:after="120"/>
              <w:jc w:val="right"/>
              <w:rPr>
                <w:rFonts w:ascii="Arial" w:hAnsi="Arial" w:cs="Arial"/>
                <w:szCs w:val="24"/>
                <w:lang w:eastAsia="en-GB"/>
              </w:rPr>
            </w:pPr>
            <w:r w:rsidRPr="00323EA8">
              <w:rPr>
                <w:rFonts w:ascii="Arial" w:hAnsi="Arial" w:cs="Arial"/>
                <w:szCs w:val="24"/>
                <w:lang w:eastAsia="en-GB"/>
              </w:rPr>
              <w:t>(</w:t>
            </w:r>
            <w:r w:rsidR="00162372" w:rsidRPr="00323EA8">
              <w:rPr>
                <w:rFonts w:ascii="Arial" w:hAnsi="Arial" w:cs="Arial"/>
                <w:szCs w:val="24"/>
                <w:lang w:eastAsia="en-GB"/>
              </w:rPr>
              <w:t>112</w:t>
            </w:r>
            <w:r w:rsidRPr="00323EA8">
              <w:rPr>
                <w:rFonts w:ascii="Arial" w:hAnsi="Arial" w:cs="Arial"/>
                <w:szCs w:val="24"/>
                <w:lang w:eastAsia="en-GB"/>
              </w:rPr>
              <w:t>)</w:t>
            </w:r>
          </w:p>
        </w:tc>
      </w:tr>
      <w:tr w:rsidR="002E5D16" w:rsidRPr="00323EA8" w:rsidTr="00605186">
        <w:tc>
          <w:tcPr>
            <w:tcW w:w="4678" w:type="dxa"/>
          </w:tcPr>
          <w:p w:rsidR="002E5D16" w:rsidRPr="00323EA8" w:rsidRDefault="002E5D16" w:rsidP="00605186">
            <w:pPr>
              <w:autoSpaceDE w:val="0"/>
              <w:autoSpaceDN w:val="0"/>
              <w:adjustRightInd w:val="0"/>
              <w:spacing w:after="120"/>
              <w:rPr>
                <w:rFonts w:ascii="Arial" w:hAnsi="Arial" w:cs="Arial"/>
                <w:szCs w:val="24"/>
                <w:lang w:eastAsia="en-GB"/>
              </w:rPr>
            </w:pPr>
            <w:r w:rsidRPr="00323EA8">
              <w:rPr>
                <w:rFonts w:ascii="Arial" w:hAnsi="Arial" w:cs="Arial"/>
                <w:szCs w:val="24"/>
                <w:lang w:eastAsia="en-GB"/>
              </w:rPr>
              <w:t>Waste, Transport and Disposal</w:t>
            </w:r>
          </w:p>
        </w:tc>
        <w:tc>
          <w:tcPr>
            <w:tcW w:w="1559" w:type="dxa"/>
          </w:tcPr>
          <w:p w:rsidR="002E5D16" w:rsidRPr="00323EA8" w:rsidRDefault="00456A0E" w:rsidP="00605186">
            <w:pPr>
              <w:autoSpaceDE w:val="0"/>
              <w:autoSpaceDN w:val="0"/>
              <w:adjustRightInd w:val="0"/>
              <w:spacing w:after="120"/>
              <w:jc w:val="right"/>
              <w:rPr>
                <w:rFonts w:ascii="Arial" w:hAnsi="Arial" w:cs="Arial"/>
                <w:szCs w:val="24"/>
                <w:lang w:eastAsia="en-GB"/>
              </w:rPr>
            </w:pPr>
            <w:r w:rsidRPr="00323EA8">
              <w:rPr>
                <w:rFonts w:ascii="Arial" w:hAnsi="Arial" w:cs="Arial"/>
                <w:szCs w:val="24"/>
                <w:lang w:eastAsia="en-GB"/>
              </w:rPr>
              <w:t>50,363</w:t>
            </w:r>
          </w:p>
        </w:tc>
        <w:tc>
          <w:tcPr>
            <w:tcW w:w="1559" w:type="dxa"/>
          </w:tcPr>
          <w:p w:rsidR="002E5D16" w:rsidRPr="00323EA8" w:rsidRDefault="000B484C" w:rsidP="00425514">
            <w:pPr>
              <w:autoSpaceDE w:val="0"/>
              <w:autoSpaceDN w:val="0"/>
              <w:adjustRightInd w:val="0"/>
              <w:spacing w:after="120"/>
              <w:jc w:val="right"/>
              <w:rPr>
                <w:rFonts w:ascii="Arial" w:hAnsi="Arial" w:cs="Arial"/>
                <w:szCs w:val="24"/>
                <w:lang w:eastAsia="en-GB"/>
              </w:rPr>
            </w:pPr>
            <w:r w:rsidRPr="00323EA8">
              <w:rPr>
                <w:rFonts w:ascii="Arial" w:hAnsi="Arial" w:cs="Arial"/>
                <w:szCs w:val="24"/>
                <w:lang w:eastAsia="en-GB"/>
              </w:rPr>
              <w:t>4</w:t>
            </w:r>
            <w:r w:rsidR="006E6694" w:rsidRPr="00323EA8">
              <w:rPr>
                <w:rFonts w:ascii="Arial" w:hAnsi="Arial" w:cs="Arial"/>
                <w:szCs w:val="24"/>
                <w:lang w:eastAsia="en-GB"/>
              </w:rPr>
              <w:t>5,325</w:t>
            </w:r>
          </w:p>
        </w:tc>
        <w:tc>
          <w:tcPr>
            <w:tcW w:w="1418" w:type="dxa"/>
          </w:tcPr>
          <w:p w:rsidR="002E5D16" w:rsidRPr="00323EA8" w:rsidRDefault="00323EA8" w:rsidP="006E6694">
            <w:pPr>
              <w:autoSpaceDE w:val="0"/>
              <w:autoSpaceDN w:val="0"/>
              <w:adjustRightInd w:val="0"/>
              <w:spacing w:after="120"/>
              <w:jc w:val="right"/>
              <w:rPr>
                <w:rFonts w:ascii="Arial" w:hAnsi="Arial" w:cs="Arial"/>
                <w:szCs w:val="24"/>
                <w:lang w:eastAsia="en-GB"/>
              </w:rPr>
            </w:pPr>
            <w:r w:rsidRPr="00323EA8">
              <w:rPr>
                <w:rFonts w:ascii="Arial" w:hAnsi="Arial" w:cs="Arial"/>
                <w:szCs w:val="24"/>
                <w:lang w:eastAsia="en-GB"/>
              </w:rPr>
              <w:t>(</w:t>
            </w:r>
            <w:r w:rsidR="00162372" w:rsidRPr="00323EA8">
              <w:rPr>
                <w:rFonts w:ascii="Arial" w:hAnsi="Arial" w:cs="Arial"/>
                <w:szCs w:val="24"/>
                <w:lang w:eastAsia="en-GB"/>
              </w:rPr>
              <w:t>5,</w:t>
            </w:r>
            <w:r w:rsidR="006E6694" w:rsidRPr="00323EA8">
              <w:rPr>
                <w:rFonts w:ascii="Arial" w:hAnsi="Arial" w:cs="Arial"/>
                <w:szCs w:val="24"/>
                <w:lang w:eastAsia="en-GB"/>
              </w:rPr>
              <w:t>038</w:t>
            </w:r>
            <w:r w:rsidRPr="00323EA8">
              <w:rPr>
                <w:rFonts w:ascii="Arial" w:hAnsi="Arial" w:cs="Arial"/>
                <w:szCs w:val="24"/>
                <w:lang w:eastAsia="en-GB"/>
              </w:rPr>
              <w:t>)</w:t>
            </w:r>
          </w:p>
        </w:tc>
      </w:tr>
      <w:tr w:rsidR="00456A0E" w:rsidRPr="00323EA8" w:rsidTr="00605186">
        <w:tc>
          <w:tcPr>
            <w:tcW w:w="4678" w:type="dxa"/>
          </w:tcPr>
          <w:p w:rsidR="00456A0E" w:rsidRPr="00323EA8" w:rsidRDefault="00456A0E" w:rsidP="00605186">
            <w:pPr>
              <w:autoSpaceDE w:val="0"/>
              <w:autoSpaceDN w:val="0"/>
              <w:adjustRightInd w:val="0"/>
              <w:spacing w:after="120"/>
              <w:rPr>
                <w:rFonts w:ascii="Arial" w:hAnsi="Arial" w:cs="Arial"/>
                <w:szCs w:val="24"/>
                <w:lang w:eastAsia="en-GB"/>
              </w:rPr>
            </w:pPr>
            <w:r w:rsidRPr="00323EA8">
              <w:rPr>
                <w:rFonts w:ascii="Arial" w:hAnsi="Arial" w:cs="Arial"/>
                <w:szCs w:val="24"/>
                <w:lang w:eastAsia="en-GB"/>
              </w:rPr>
              <w:t>MRF Waste Transport and Disposal</w:t>
            </w:r>
          </w:p>
        </w:tc>
        <w:tc>
          <w:tcPr>
            <w:tcW w:w="1559" w:type="dxa"/>
          </w:tcPr>
          <w:p w:rsidR="00456A0E" w:rsidRPr="00323EA8" w:rsidRDefault="00456A0E" w:rsidP="00605186">
            <w:pPr>
              <w:autoSpaceDE w:val="0"/>
              <w:autoSpaceDN w:val="0"/>
              <w:adjustRightInd w:val="0"/>
              <w:spacing w:after="120"/>
              <w:jc w:val="right"/>
              <w:rPr>
                <w:rFonts w:ascii="Arial" w:hAnsi="Arial" w:cs="Arial"/>
                <w:szCs w:val="24"/>
                <w:lang w:eastAsia="en-GB"/>
              </w:rPr>
            </w:pPr>
            <w:r w:rsidRPr="00323EA8">
              <w:rPr>
                <w:rFonts w:ascii="Arial" w:hAnsi="Arial" w:cs="Arial"/>
                <w:szCs w:val="24"/>
                <w:lang w:eastAsia="en-GB"/>
              </w:rPr>
              <w:t>2,469</w:t>
            </w:r>
          </w:p>
        </w:tc>
        <w:tc>
          <w:tcPr>
            <w:tcW w:w="1559" w:type="dxa"/>
          </w:tcPr>
          <w:p w:rsidR="00456A0E" w:rsidRPr="00323EA8" w:rsidRDefault="00954C3B" w:rsidP="00605186">
            <w:pPr>
              <w:autoSpaceDE w:val="0"/>
              <w:autoSpaceDN w:val="0"/>
              <w:adjustRightInd w:val="0"/>
              <w:spacing w:after="120"/>
              <w:jc w:val="right"/>
              <w:rPr>
                <w:rFonts w:ascii="Arial" w:hAnsi="Arial" w:cs="Arial"/>
                <w:szCs w:val="24"/>
                <w:lang w:eastAsia="en-GB"/>
              </w:rPr>
            </w:pPr>
            <w:r w:rsidRPr="00323EA8">
              <w:rPr>
                <w:rFonts w:ascii="Arial" w:hAnsi="Arial" w:cs="Arial"/>
                <w:szCs w:val="24"/>
                <w:lang w:eastAsia="en-GB"/>
              </w:rPr>
              <w:t>2,</w:t>
            </w:r>
            <w:r w:rsidR="006E6694" w:rsidRPr="00323EA8">
              <w:rPr>
                <w:rFonts w:ascii="Arial" w:hAnsi="Arial" w:cs="Arial"/>
                <w:szCs w:val="24"/>
                <w:lang w:eastAsia="en-GB"/>
              </w:rPr>
              <w:t>432</w:t>
            </w:r>
          </w:p>
        </w:tc>
        <w:tc>
          <w:tcPr>
            <w:tcW w:w="1418" w:type="dxa"/>
          </w:tcPr>
          <w:p w:rsidR="00456A0E" w:rsidRPr="00323EA8" w:rsidRDefault="00323EA8" w:rsidP="00605186">
            <w:pPr>
              <w:autoSpaceDE w:val="0"/>
              <w:autoSpaceDN w:val="0"/>
              <w:adjustRightInd w:val="0"/>
              <w:spacing w:after="120"/>
              <w:jc w:val="right"/>
              <w:rPr>
                <w:rFonts w:ascii="Arial" w:hAnsi="Arial" w:cs="Arial"/>
                <w:szCs w:val="24"/>
                <w:lang w:eastAsia="en-GB"/>
              </w:rPr>
            </w:pPr>
            <w:r w:rsidRPr="00323EA8">
              <w:rPr>
                <w:rFonts w:ascii="Arial" w:hAnsi="Arial" w:cs="Arial"/>
                <w:szCs w:val="24"/>
                <w:lang w:eastAsia="en-GB"/>
              </w:rPr>
              <w:t>(</w:t>
            </w:r>
            <w:r w:rsidR="006E6694" w:rsidRPr="00323EA8">
              <w:rPr>
                <w:rFonts w:ascii="Arial" w:hAnsi="Arial" w:cs="Arial"/>
                <w:szCs w:val="24"/>
                <w:lang w:eastAsia="en-GB"/>
              </w:rPr>
              <w:t>37</w:t>
            </w:r>
            <w:r w:rsidRPr="00323EA8">
              <w:rPr>
                <w:rFonts w:ascii="Arial" w:hAnsi="Arial" w:cs="Arial"/>
                <w:szCs w:val="24"/>
                <w:lang w:eastAsia="en-GB"/>
              </w:rPr>
              <w:t>)</w:t>
            </w:r>
          </w:p>
        </w:tc>
      </w:tr>
      <w:tr w:rsidR="002E5D16" w:rsidRPr="00323EA8" w:rsidTr="00605186">
        <w:tc>
          <w:tcPr>
            <w:tcW w:w="4678" w:type="dxa"/>
          </w:tcPr>
          <w:p w:rsidR="002E5D16" w:rsidRPr="00323EA8" w:rsidRDefault="002E5D16" w:rsidP="00605186">
            <w:pPr>
              <w:autoSpaceDE w:val="0"/>
              <w:autoSpaceDN w:val="0"/>
              <w:adjustRightInd w:val="0"/>
              <w:spacing w:after="120"/>
              <w:rPr>
                <w:rFonts w:ascii="Arial" w:hAnsi="Arial" w:cs="Arial"/>
                <w:szCs w:val="24"/>
                <w:lang w:eastAsia="en-GB"/>
              </w:rPr>
            </w:pPr>
            <w:r w:rsidRPr="00323EA8">
              <w:rPr>
                <w:rFonts w:ascii="Arial" w:hAnsi="Arial" w:cs="Arial"/>
                <w:szCs w:val="24"/>
                <w:lang w:eastAsia="en-GB"/>
              </w:rPr>
              <w:t>Other supplies</w:t>
            </w:r>
          </w:p>
        </w:tc>
        <w:tc>
          <w:tcPr>
            <w:tcW w:w="1559" w:type="dxa"/>
          </w:tcPr>
          <w:p w:rsidR="002E5D16" w:rsidRPr="00323EA8" w:rsidRDefault="00C138AC" w:rsidP="00605186">
            <w:pPr>
              <w:autoSpaceDE w:val="0"/>
              <w:autoSpaceDN w:val="0"/>
              <w:adjustRightInd w:val="0"/>
              <w:spacing w:after="120"/>
              <w:jc w:val="right"/>
              <w:rPr>
                <w:rFonts w:ascii="Arial" w:hAnsi="Arial" w:cs="Arial"/>
                <w:szCs w:val="24"/>
                <w:lang w:eastAsia="en-GB"/>
              </w:rPr>
            </w:pPr>
            <w:r w:rsidRPr="00323EA8">
              <w:rPr>
                <w:rFonts w:ascii="Arial" w:hAnsi="Arial" w:cs="Arial"/>
                <w:szCs w:val="24"/>
                <w:lang w:eastAsia="en-GB"/>
              </w:rPr>
              <w:t>968</w:t>
            </w:r>
          </w:p>
        </w:tc>
        <w:tc>
          <w:tcPr>
            <w:tcW w:w="1559" w:type="dxa"/>
          </w:tcPr>
          <w:p w:rsidR="002E5D16" w:rsidRPr="00323EA8" w:rsidRDefault="006E6694" w:rsidP="00605186">
            <w:pPr>
              <w:autoSpaceDE w:val="0"/>
              <w:autoSpaceDN w:val="0"/>
              <w:adjustRightInd w:val="0"/>
              <w:spacing w:after="120"/>
              <w:jc w:val="right"/>
              <w:rPr>
                <w:rFonts w:ascii="Arial" w:hAnsi="Arial" w:cs="Arial"/>
                <w:szCs w:val="24"/>
                <w:lang w:eastAsia="en-GB"/>
              </w:rPr>
            </w:pPr>
            <w:r w:rsidRPr="00323EA8">
              <w:rPr>
                <w:rFonts w:ascii="Arial" w:hAnsi="Arial" w:cs="Arial"/>
                <w:szCs w:val="24"/>
                <w:lang w:eastAsia="en-GB"/>
              </w:rPr>
              <w:t>1,987</w:t>
            </w:r>
          </w:p>
        </w:tc>
        <w:tc>
          <w:tcPr>
            <w:tcW w:w="1418" w:type="dxa"/>
          </w:tcPr>
          <w:p w:rsidR="002E5D16" w:rsidRPr="00323EA8" w:rsidRDefault="006E6694" w:rsidP="00605186">
            <w:pPr>
              <w:autoSpaceDE w:val="0"/>
              <w:autoSpaceDN w:val="0"/>
              <w:adjustRightInd w:val="0"/>
              <w:spacing w:after="120"/>
              <w:jc w:val="right"/>
              <w:rPr>
                <w:rFonts w:ascii="Arial" w:hAnsi="Arial" w:cs="Arial"/>
                <w:szCs w:val="24"/>
                <w:lang w:eastAsia="en-GB"/>
              </w:rPr>
            </w:pPr>
            <w:r w:rsidRPr="00323EA8">
              <w:rPr>
                <w:rFonts w:ascii="Arial" w:hAnsi="Arial" w:cs="Arial"/>
                <w:szCs w:val="24"/>
                <w:lang w:eastAsia="en-GB"/>
              </w:rPr>
              <w:t>1,019</w:t>
            </w:r>
          </w:p>
        </w:tc>
      </w:tr>
      <w:tr w:rsidR="002E5D16" w:rsidRPr="00323EA8" w:rsidTr="00456A0E">
        <w:tc>
          <w:tcPr>
            <w:tcW w:w="4678" w:type="dxa"/>
          </w:tcPr>
          <w:p w:rsidR="002E5D16" w:rsidRPr="00323EA8" w:rsidRDefault="000B484C" w:rsidP="00605186">
            <w:pPr>
              <w:autoSpaceDE w:val="0"/>
              <w:autoSpaceDN w:val="0"/>
              <w:adjustRightInd w:val="0"/>
              <w:spacing w:after="120"/>
              <w:rPr>
                <w:rFonts w:ascii="Arial" w:hAnsi="Arial" w:cs="Arial"/>
                <w:szCs w:val="24"/>
                <w:lang w:eastAsia="en-GB"/>
              </w:rPr>
            </w:pPr>
            <w:r w:rsidRPr="00323EA8">
              <w:rPr>
                <w:rFonts w:ascii="Arial" w:hAnsi="Arial" w:cs="Arial"/>
                <w:szCs w:val="24"/>
                <w:lang w:eastAsia="en-GB"/>
              </w:rPr>
              <w:t>Depreciation</w:t>
            </w:r>
          </w:p>
        </w:tc>
        <w:tc>
          <w:tcPr>
            <w:tcW w:w="1559" w:type="dxa"/>
          </w:tcPr>
          <w:p w:rsidR="002E5D16" w:rsidRPr="00323EA8" w:rsidRDefault="00C138AC" w:rsidP="00605186">
            <w:pPr>
              <w:autoSpaceDE w:val="0"/>
              <w:autoSpaceDN w:val="0"/>
              <w:adjustRightInd w:val="0"/>
              <w:spacing w:after="120"/>
              <w:jc w:val="right"/>
              <w:rPr>
                <w:rFonts w:ascii="Arial" w:hAnsi="Arial" w:cs="Arial"/>
                <w:szCs w:val="24"/>
                <w:lang w:eastAsia="en-GB"/>
              </w:rPr>
            </w:pPr>
            <w:r w:rsidRPr="00323EA8">
              <w:rPr>
                <w:rFonts w:ascii="Arial" w:hAnsi="Arial" w:cs="Arial"/>
                <w:szCs w:val="24"/>
                <w:lang w:eastAsia="en-GB"/>
              </w:rPr>
              <w:t>9,240</w:t>
            </w:r>
          </w:p>
        </w:tc>
        <w:tc>
          <w:tcPr>
            <w:tcW w:w="1559" w:type="dxa"/>
          </w:tcPr>
          <w:p w:rsidR="002E5D16" w:rsidRPr="00323EA8" w:rsidRDefault="00F92B0E" w:rsidP="00605186">
            <w:pPr>
              <w:autoSpaceDE w:val="0"/>
              <w:autoSpaceDN w:val="0"/>
              <w:adjustRightInd w:val="0"/>
              <w:spacing w:after="120"/>
              <w:jc w:val="right"/>
              <w:rPr>
                <w:rFonts w:ascii="Arial" w:hAnsi="Arial" w:cs="Arial"/>
                <w:szCs w:val="24"/>
                <w:lang w:eastAsia="en-GB"/>
              </w:rPr>
            </w:pPr>
            <w:r w:rsidRPr="00323EA8">
              <w:rPr>
                <w:rFonts w:ascii="Arial" w:hAnsi="Arial" w:cs="Arial"/>
                <w:szCs w:val="24"/>
                <w:lang w:eastAsia="en-GB"/>
              </w:rPr>
              <w:t>10,6</w:t>
            </w:r>
            <w:r w:rsidR="006E6694" w:rsidRPr="00323EA8">
              <w:rPr>
                <w:rFonts w:ascii="Arial" w:hAnsi="Arial" w:cs="Arial"/>
                <w:szCs w:val="24"/>
                <w:lang w:eastAsia="en-GB"/>
              </w:rPr>
              <w:t>99</w:t>
            </w:r>
          </w:p>
        </w:tc>
        <w:tc>
          <w:tcPr>
            <w:tcW w:w="1418" w:type="dxa"/>
          </w:tcPr>
          <w:p w:rsidR="002E5D16" w:rsidRPr="00323EA8" w:rsidRDefault="00162372" w:rsidP="00323EA8">
            <w:pPr>
              <w:autoSpaceDE w:val="0"/>
              <w:autoSpaceDN w:val="0"/>
              <w:adjustRightInd w:val="0"/>
              <w:spacing w:after="120"/>
              <w:jc w:val="right"/>
              <w:rPr>
                <w:rFonts w:ascii="Arial" w:hAnsi="Arial" w:cs="Arial"/>
                <w:szCs w:val="24"/>
                <w:lang w:eastAsia="en-GB"/>
              </w:rPr>
            </w:pPr>
            <w:r w:rsidRPr="00323EA8">
              <w:rPr>
                <w:rFonts w:ascii="Arial" w:hAnsi="Arial" w:cs="Arial"/>
                <w:szCs w:val="24"/>
                <w:lang w:eastAsia="en-GB"/>
              </w:rPr>
              <w:t>1,459</w:t>
            </w:r>
          </w:p>
        </w:tc>
      </w:tr>
      <w:tr w:rsidR="002E5D16" w:rsidRPr="00323EA8" w:rsidTr="00456A0E">
        <w:tc>
          <w:tcPr>
            <w:tcW w:w="4678" w:type="dxa"/>
          </w:tcPr>
          <w:p w:rsidR="002E5D16" w:rsidRPr="00323EA8" w:rsidRDefault="002E5D16" w:rsidP="00605186">
            <w:pPr>
              <w:autoSpaceDE w:val="0"/>
              <w:autoSpaceDN w:val="0"/>
              <w:adjustRightInd w:val="0"/>
              <w:spacing w:after="120"/>
              <w:rPr>
                <w:rFonts w:ascii="Arial" w:hAnsi="Arial" w:cs="Arial"/>
                <w:szCs w:val="24"/>
                <w:lang w:eastAsia="en-GB"/>
              </w:rPr>
            </w:pPr>
            <w:r w:rsidRPr="00323EA8">
              <w:rPr>
                <w:rFonts w:ascii="Arial" w:hAnsi="Arial" w:cs="Arial"/>
                <w:szCs w:val="24"/>
                <w:lang w:eastAsia="en-GB"/>
              </w:rPr>
              <w:t>Financing</w:t>
            </w:r>
          </w:p>
        </w:tc>
        <w:tc>
          <w:tcPr>
            <w:tcW w:w="1559" w:type="dxa"/>
          </w:tcPr>
          <w:p w:rsidR="002E5D16" w:rsidRPr="00323EA8" w:rsidRDefault="00C138AC" w:rsidP="00605186">
            <w:pPr>
              <w:autoSpaceDE w:val="0"/>
              <w:autoSpaceDN w:val="0"/>
              <w:adjustRightInd w:val="0"/>
              <w:spacing w:after="120"/>
              <w:jc w:val="right"/>
              <w:rPr>
                <w:rFonts w:ascii="Arial" w:hAnsi="Arial" w:cs="Arial"/>
                <w:szCs w:val="24"/>
                <w:lang w:eastAsia="en-GB"/>
              </w:rPr>
            </w:pPr>
            <w:r w:rsidRPr="00323EA8">
              <w:rPr>
                <w:rFonts w:ascii="Arial" w:hAnsi="Arial" w:cs="Arial"/>
                <w:szCs w:val="24"/>
                <w:lang w:eastAsia="en-GB"/>
              </w:rPr>
              <w:t>6,171</w:t>
            </w:r>
          </w:p>
        </w:tc>
        <w:tc>
          <w:tcPr>
            <w:tcW w:w="1559" w:type="dxa"/>
          </w:tcPr>
          <w:p w:rsidR="002E5D16" w:rsidRPr="00323EA8" w:rsidRDefault="00954C3B" w:rsidP="00605186">
            <w:pPr>
              <w:autoSpaceDE w:val="0"/>
              <w:autoSpaceDN w:val="0"/>
              <w:adjustRightInd w:val="0"/>
              <w:spacing w:after="120"/>
              <w:jc w:val="right"/>
              <w:rPr>
                <w:rFonts w:ascii="Arial" w:hAnsi="Arial" w:cs="Arial"/>
                <w:szCs w:val="24"/>
                <w:lang w:eastAsia="en-GB"/>
              </w:rPr>
            </w:pPr>
            <w:r w:rsidRPr="00323EA8">
              <w:rPr>
                <w:rFonts w:ascii="Arial" w:hAnsi="Arial" w:cs="Arial"/>
                <w:szCs w:val="24"/>
                <w:lang w:eastAsia="en-GB"/>
              </w:rPr>
              <w:t>6,</w:t>
            </w:r>
            <w:r w:rsidR="006E6694" w:rsidRPr="00323EA8">
              <w:rPr>
                <w:rFonts w:ascii="Arial" w:hAnsi="Arial" w:cs="Arial"/>
                <w:szCs w:val="24"/>
                <w:lang w:eastAsia="en-GB"/>
              </w:rPr>
              <w:t>429</w:t>
            </w:r>
          </w:p>
        </w:tc>
        <w:tc>
          <w:tcPr>
            <w:tcW w:w="1418" w:type="dxa"/>
          </w:tcPr>
          <w:p w:rsidR="002E5D16" w:rsidRPr="00323EA8" w:rsidRDefault="006E6694" w:rsidP="00605186">
            <w:pPr>
              <w:autoSpaceDE w:val="0"/>
              <w:autoSpaceDN w:val="0"/>
              <w:adjustRightInd w:val="0"/>
              <w:spacing w:after="120"/>
              <w:jc w:val="right"/>
              <w:rPr>
                <w:rFonts w:ascii="Arial" w:hAnsi="Arial" w:cs="Arial"/>
                <w:szCs w:val="24"/>
                <w:lang w:eastAsia="en-GB"/>
              </w:rPr>
            </w:pPr>
            <w:r w:rsidRPr="00323EA8">
              <w:rPr>
                <w:rFonts w:ascii="Arial" w:hAnsi="Arial" w:cs="Arial"/>
                <w:szCs w:val="24"/>
                <w:lang w:eastAsia="en-GB"/>
              </w:rPr>
              <w:t>258</w:t>
            </w:r>
          </w:p>
        </w:tc>
      </w:tr>
      <w:tr w:rsidR="00456A0E" w:rsidRPr="00323EA8" w:rsidTr="00456A0E">
        <w:tc>
          <w:tcPr>
            <w:tcW w:w="4678" w:type="dxa"/>
          </w:tcPr>
          <w:p w:rsidR="00456A0E" w:rsidRPr="00323EA8" w:rsidRDefault="00456A0E" w:rsidP="00605186">
            <w:pPr>
              <w:autoSpaceDE w:val="0"/>
              <w:autoSpaceDN w:val="0"/>
              <w:adjustRightInd w:val="0"/>
              <w:spacing w:after="120"/>
              <w:rPr>
                <w:rFonts w:ascii="Arial" w:hAnsi="Arial" w:cs="Arial"/>
                <w:szCs w:val="24"/>
                <w:lang w:eastAsia="en-GB"/>
              </w:rPr>
            </w:pPr>
            <w:r w:rsidRPr="00323EA8">
              <w:rPr>
                <w:rFonts w:ascii="Arial" w:hAnsi="Arial" w:cs="Arial"/>
                <w:szCs w:val="24"/>
                <w:lang w:eastAsia="en-GB"/>
              </w:rPr>
              <w:t>Concession Adjustment</w:t>
            </w:r>
          </w:p>
        </w:tc>
        <w:tc>
          <w:tcPr>
            <w:tcW w:w="1559" w:type="dxa"/>
            <w:tcBorders>
              <w:bottom w:val="single" w:sz="4" w:space="0" w:color="auto"/>
            </w:tcBorders>
          </w:tcPr>
          <w:p w:rsidR="00456A0E" w:rsidRPr="00323EA8" w:rsidRDefault="00954C3B" w:rsidP="00605186">
            <w:pPr>
              <w:autoSpaceDE w:val="0"/>
              <w:autoSpaceDN w:val="0"/>
              <w:adjustRightInd w:val="0"/>
              <w:spacing w:after="120"/>
              <w:jc w:val="right"/>
              <w:rPr>
                <w:rFonts w:ascii="Arial" w:hAnsi="Arial" w:cs="Arial"/>
                <w:szCs w:val="24"/>
                <w:lang w:eastAsia="en-GB"/>
              </w:rPr>
            </w:pPr>
            <w:r w:rsidRPr="00323EA8">
              <w:rPr>
                <w:rFonts w:ascii="Arial" w:hAnsi="Arial" w:cs="Arial"/>
                <w:szCs w:val="24"/>
                <w:lang w:eastAsia="en-GB"/>
              </w:rPr>
              <w:t>(4,381</w:t>
            </w:r>
            <w:r w:rsidR="00456A0E" w:rsidRPr="00323EA8">
              <w:rPr>
                <w:rFonts w:ascii="Arial" w:hAnsi="Arial" w:cs="Arial"/>
                <w:szCs w:val="24"/>
                <w:lang w:eastAsia="en-GB"/>
              </w:rPr>
              <w:t>)</w:t>
            </w:r>
          </w:p>
        </w:tc>
        <w:tc>
          <w:tcPr>
            <w:tcW w:w="1559" w:type="dxa"/>
            <w:tcBorders>
              <w:bottom w:val="single" w:sz="4" w:space="0" w:color="auto"/>
            </w:tcBorders>
          </w:tcPr>
          <w:p w:rsidR="00456A0E" w:rsidRPr="00323EA8" w:rsidRDefault="00456A0E" w:rsidP="006E6694">
            <w:pPr>
              <w:autoSpaceDE w:val="0"/>
              <w:autoSpaceDN w:val="0"/>
              <w:adjustRightInd w:val="0"/>
              <w:spacing w:after="120"/>
              <w:jc w:val="right"/>
              <w:rPr>
                <w:rFonts w:ascii="Arial" w:hAnsi="Arial" w:cs="Arial"/>
                <w:szCs w:val="24"/>
                <w:lang w:eastAsia="en-GB"/>
              </w:rPr>
            </w:pPr>
            <w:r w:rsidRPr="00323EA8">
              <w:rPr>
                <w:rFonts w:ascii="Arial" w:hAnsi="Arial" w:cs="Arial"/>
                <w:szCs w:val="24"/>
                <w:lang w:eastAsia="en-GB"/>
              </w:rPr>
              <w:t>(</w:t>
            </w:r>
            <w:r w:rsidR="006E6694" w:rsidRPr="00323EA8">
              <w:rPr>
                <w:rFonts w:ascii="Arial" w:hAnsi="Arial" w:cs="Arial"/>
                <w:szCs w:val="24"/>
                <w:lang w:eastAsia="en-GB"/>
              </w:rPr>
              <w:t>4,381</w:t>
            </w:r>
            <w:r w:rsidR="00954C3B" w:rsidRPr="00323EA8">
              <w:rPr>
                <w:rFonts w:ascii="Arial" w:hAnsi="Arial" w:cs="Arial"/>
                <w:szCs w:val="24"/>
                <w:lang w:eastAsia="en-GB"/>
              </w:rPr>
              <w:t>)</w:t>
            </w:r>
          </w:p>
        </w:tc>
        <w:tc>
          <w:tcPr>
            <w:tcW w:w="1418" w:type="dxa"/>
            <w:tcBorders>
              <w:bottom w:val="single" w:sz="4" w:space="0" w:color="auto"/>
            </w:tcBorders>
          </w:tcPr>
          <w:p w:rsidR="00456A0E" w:rsidRPr="00323EA8" w:rsidRDefault="00456A0E" w:rsidP="00605186">
            <w:pPr>
              <w:autoSpaceDE w:val="0"/>
              <w:autoSpaceDN w:val="0"/>
              <w:adjustRightInd w:val="0"/>
              <w:spacing w:after="120"/>
              <w:jc w:val="right"/>
              <w:rPr>
                <w:rFonts w:ascii="Arial" w:hAnsi="Arial" w:cs="Arial"/>
                <w:szCs w:val="24"/>
                <w:lang w:eastAsia="en-GB"/>
              </w:rPr>
            </w:pPr>
            <w:r w:rsidRPr="00323EA8">
              <w:rPr>
                <w:rFonts w:ascii="Arial" w:hAnsi="Arial" w:cs="Arial"/>
                <w:szCs w:val="24"/>
                <w:lang w:eastAsia="en-GB"/>
              </w:rPr>
              <w:t>0</w:t>
            </w:r>
          </w:p>
        </w:tc>
      </w:tr>
      <w:tr w:rsidR="002E5D16" w:rsidRPr="00323EA8" w:rsidTr="00605186">
        <w:tc>
          <w:tcPr>
            <w:tcW w:w="4678" w:type="dxa"/>
          </w:tcPr>
          <w:p w:rsidR="002E5D16" w:rsidRPr="00323EA8" w:rsidRDefault="002E5D16" w:rsidP="00605186">
            <w:pPr>
              <w:autoSpaceDE w:val="0"/>
              <w:autoSpaceDN w:val="0"/>
              <w:adjustRightInd w:val="0"/>
              <w:spacing w:after="120"/>
              <w:rPr>
                <w:rFonts w:ascii="Arial" w:hAnsi="Arial" w:cs="Arial"/>
                <w:b/>
                <w:szCs w:val="24"/>
                <w:lang w:eastAsia="en-GB"/>
              </w:rPr>
            </w:pPr>
          </w:p>
        </w:tc>
        <w:tc>
          <w:tcPr>
            <w:tcW w:w="1559" w:type="dxa"/>
            <w:tcBorders>
              <w:top w:val="single" w:sz="4" w:space="0" w:color="auto"/>
            </w:tcBorders>
          </w:tcPr>
          <w:p w:rsidR="002E5D16" w:rsidRPr="00323EA8" w:rsidRDefault="00872A60" w:rsidP="00954C3B">
            <w:pPr>
              <w:autoSpaceDE w:val="0"/>
              <w:autoSpaceDN w:val="0"/>
              <w:adjustRightInd w:val="0"/>
              <w:spacing w:after="120"/>
              <w:jc w:val="right"/>
              <w:rPr>
                <w:rFonts w:ascii="Arial" w:hAnsi="Arial" w:cs="Arial"/>
                <w:b/>
                <w:szCs w:val="24"/>
                <w:lang w:eastAsia="en-GB"/>
              </w:rPr>
            </w:pPr>
            <w:r w:rsidRPr="00323EA8">
              <w:rPr>
                <w:rFonts w:ascii="Arial" w:hAnsi="Arial" w:cs="Arial"/>
                <w:b/>
                <w:szCs w:val="24"/>
                <w:lang w:eastAsia="en-GB"/>
              </w:rPr>
              <w:t>6</w:t>
            </w:r>
            <w:r w:rsidR="00954C3B" w:rsidRPr="00323EA8">
              <w:rPr>
                <w:rFonts w:ascii="Arial" w:hAnsi="Arial" w:cs="Arial"/>
                <w:b/>
                <w:szCs w:val="24"/>
                <w:lang w:eastAsia="en-GB"/>
              </w:rPr>
              <w:t>9</w:t>
            </w:r>
            <w:r w:rsidRPr="00323EA8">
              <w:rPr>
                <w:rFonts w:ascii="Arial" w:hAnsi="Arial" w:cs="Arial"/>
                <w:b/>
                <w:szCs w:val="24"/>
                <w:lang w:eastAsia="en-GB"/>
              </w:rPr>
              <w:t>,</w:t>
            </w:r>
            <w:r w:rsidR="00954C3B" w:rsidRPr="00323EA8">
              <w:rPr>
                <w:rFonts w:ascii="Arial" w:hAnsi="Arial" w:cs="Arial"/>
                <w:b/>
                <w:szCs w:val="24"/>
                <w:lang w:eastAsia="en-GB"/>
              </w:rPr>
              <w:t>703</w:t>
            </w:r>
          </w:p>
        </w:tc>
        <w:tc>
          <w:tcPr>
            <w:tcW w:w="1559" w:type="dxa"/>
            <w:tcBorders>
              <w:top w:val="single" w:sz="4" w:space="0" w:color="auto"/>
            </w:tcBorders>
          </w:tcPr>
          <w:p w:rsidR="002E5D16" w:rsidRPr="00323EA8" w:rsidRDefault="00285B48" w:rsidP="007816C6">
            <w:pPr>
              <w:autoSpaceDE w:val="0"/>
              <w:autoSpaceDN w:val="0"/>
              <w:adjustRightInd w:val="0"/>
              <w:spacing w:after="120"/>
              <w:jc w:val="right"/>
              <w:rPr>
                <w:rFonts w:ascii="Arial" w:hAnsi="Arial" w:cs="Arial"/>
                <w:b/>
                <w:szCs w:val="24"/>
                <w:lang w:eastAsia="en-GB"/>
              </w:rPr>
            </w:pPr>
            <w:r w:rsidRPr="00323EA8">
              <w:rPr>
                <w:rFonts w:ascii="Arial" w:hAnsi="Arial" w:cs="Arial"/>
                <w:b/>
                <w:szCs w:val="24"/>
                <w:lang w:eastAsia="en-GB"/>
              </w:rPr>
              <w:t>68,</w:t>
            </w:r>
            <w:r w:rsidR="006E6694" w:rsidRPr="00323EA8">
              <w:rPr>
                <w:rFonts w:ascii="Arial" w:hAnsi="Arial" w:cs="Arial"/>
                <w:b/>
                <w:szCs w:val="24"/>
                <w:lang w:eastAsia="en-GB"/>
              </w:rPr>
              <w:t>067</w:t>
            </w:r>
          </w:p>
        </w:tc>
        <w:tc>
          <w:tcPr>
            <w:tcW w:w="1418" w:type="dxa"/>
            <w:tcBorders>
              <w:top w:val="single" w:sz="4" w:space="0" w:color="auto"/>
            </w:tcBorders>
          </w:tcPr>
          <w:p w:rsidR="002E5D16" w:rsidRPr="00323EA8" w:rsidRDefault="007816C6" w:rsidP="007816C6">
            <w:pPr>
              <w:autoSpaceDE w:val="0"/>
              <w:autoSpaceDN w:val="0"/>
              <w:adjustRightInd w:val="0"/>
              <w:spacing w:after="120"/>
              <w:jc w:val="right"/>
              <w:rPr>
                <w:rFonts w:ascii="Arial" w:hAnsi="Arial" w:cs="Arial"/>
                <w:b/>
                <w:szCs w:val="24"/>
                <w:lang w:eastAsia="en-GB"/>
              </w:rPr>
            </w:pPr>
            <w:r w:rsidRPr="00323EA8">
              <w:rPr>
                <w:rFonts w:ascii="Arial" w:hAnsi="Arial" w:cs="Arial"/>
                <w:b/>
                <w:szCs w:val="24"/>
                <w:lang w:eastAsia="en-GB"/>
              </w:rPr>
              <w:t>(</w:t>
            </w:r>
            <w:r w:rsidR="006E6694" w:rsidRPr="00323EA8">
              <w:rPr>
                <w:rFonts w:ascii="Arial" w:hAnsi="Arial" w:cs="Arial"/>
                <w:b/>
                <w:szCs w:val="24"/>
                <w:lang w:eastAsia="en-GB"/>
              </w:rPr>
              <w:t>1,636</w:t>
            </w:r>
            <w:r w:rsidRPr="00323EA8">
              <w:rPr>
                <w:rFonts w:ascii="Arial" w:hAnsi="Arial" w:cs="Arial"/>
                <w:b/>
                <w:szCs w:val="24"/>
                <w:lang w:eastAsia="en-GB"/>
              </w:rPr>
              <w:t>)</w:t>
            </w:r>
          </w:p>
        </w:tc>
      </w:tr>
      <w:tr w:rsidR="002E5D16" w:rsidRPr="00323EA8" w:rsidTr="00605186">
        <w:tc>
          <w:tcPr>
            <w:tcW w:w="4678" w:type="dxa"/>
          </w:tcPr>
          <w:p w:rsidR="002E5D16" w:rsidRPr="00323EA8" w:rsidRDefault="002E5D16" w:rsidP="00605186">
            <w:pPr>
              <w:autoSpaceDE w:val="0"/>
              <w:autoSpaceDN w:val="0"/>
              <w:adjustRightInd w:val="0"/>
              <w:spacing w:after="120"/>
              <w:rPr>
                <w:rFonts w:ascii="Arial" w:hAnsi="Arial" w:cs="Arial"/>
                <w:b/>
                <w:szCs w:val="24"/>
                <w:lang w:eastAsia="en-GB"/>
              </w:rPr>
            </w:pPr>
            <w:r w:rsidRPr="00323EA8">
              <w:rPr>
                <w:rFonts w:ascii="Arial" w:hAnsi="Arial" w:cs="Arial"/>
                <w:b/>
                <w:szCs w:val="24"/>
                <w:lang w:eastAsia="en-GB"/>
              </w:rPr>
              <w:t>Income</w:t>
            </w:r>
          </w:p>
        </w:tc>
        <w:tc>
          <w:tcPr>
            <w:tcW w:w="1559" w:type="dxa"/>
          </w:tcPr>
          <w:p w:rsidR="002E5D16" w:rsidRPr="00323EA8" w:rsidRDefault="002E5D16" w:rsidP="00605186">
            <w:pPr>
              <w:autoSpaceDE w:val="0"/>
              <w:autoSpaceDN w:val="0"/>
              <w:adjustRightInd w:val="0"/>
              <w:spacing w:after="120"/>
              <w:jc w:val="right"/>
              <w:rPr>
                <w:rFonts w:ascii="Arial" w:hAnsi="Arial" w:cs="Arial"/>
                <w:b/>
                <w:szCs w:val="24"/>
                <w:lang w:eastAsia="en-GB"/>
              </w:rPr>
            </w:pPr>
          </w:p>
        </w:tc>
        <w:tc>
          <w:tcPr>
            <w:tcW w:w="1559" w:type="dxa"/>
          </w:tcPr>
          <w:p w:rsidR="002E5D16" w:rsidRPr="00323EA8" w:rsidRDefault="002E5D16" w:rsidP="00605186">
            <w:pPr>
              <w:autoSpaceDE w:val="0"/>
              <w:autoSpaceDN w:val="0"/>
              <w:adjustRightInd w:val="0"/>
              <w:spacing w:after="120"/>
              <w:jc w:val="right"/>
              <w:rPr>
                <w:rFonts w:ascii="Arial" w:hAnsi="Arial" w:cs="Arial"/>
                <w:b/>
                <w:szCs w:val="24"/>
                <w:lang w:eastAsia="en-GB"/>
              </w:rPr>
            </w:pPr>
          </w:p>
        </w:tc>
        <w:tc>
          <w:tcPr>
            <w:tcW w:w="1418" w:type="dxa"/>
          </w:tcPr>
          <w:p w:rsidR="002E5D16" w:rsidRPr="00323EA8" w:rsidRDefault="002E5D16" w:rsidP="00605186">
            <w:pPr>
              <w:autoSpaceDE w:val="0"/>
              <w:autoSpaceDN w:val="0"/>
              <w:adjustRightInd w:val="0"/>
              <w:spacing w:after="120"/>
              <w:jc w:val="right"/>
              <w:rPr>
                <w:rFonts w:ascii="Arial" w:hAnsi="Arial" w:cs="Arial"/>
                <w:b/>
                <w:szCs w:val="24"/>
                <w:lang w:eastAsia="en-GB"/>
              </w:rPr>
            </w:pPr>
          </w:p>
        </w:tc>
      </w:tr>
      <w:tr w:rsidR="002E5D16" w:rsidRPr="00323EA8" w:rsidTr="00872A60">
        <w:trPr>
          <w:trHeight w:val="441"/>
        </w:trPr>
        <w:tc>
          <w:tcPr>
            <w:tcW w:w="4678" w:type="dxa"/>
          </w:tcPr>
          <w:p w:rsidR="002E5D16" w:rsidRPr="00323EA8" w:rsidRDefault="002E5D16" w:rsidP="00605186">
            <w:pPr>
              <w:autoSpaceDE w:val="0"/>
              <w:autoSpaceDN w:val="0"/>
              <w:adjustRightInd w:val="0"/>
              <w:spacing w:after="120"/>
              <w:rPr>
                <w:rFonts w:ascii="Arial" w:hAnsi="Arial" w:cs="Arial"/>
                <w:szCs w:val="24"/>
                <w:lang w:eastAsia="en-GB"/>
              </w:rPr>
            </w:pPr>
            <w:r w:rsidRPr="00323EA8">
              <w:rPr>
                <w:rFonts w:ascii="Arial" w:hAnsi="Arial" w:cs="Arial"/>
                <w:szCs w:val="24"/>
                <w:lang w:eastAsia="en-GB"/>
              </w:rPr>
              <w:t>Levies</w:t>
            </w:r>
          </w:p>
        </w:tc>
        <w:tc>
          <w:tcPr>
            <w:tcW w:w="1559" w:type="dxa"/>
          </w:tcPr>
          <w:p w:rsidR="002E5D16" w:rsidRPr="00323EA8" w:rsidRDefault="00872A60" w:rsidP="00954C3B">
            <w:pPr>
              <w:autoSpaceDE w:val="0"/>
              <w:autoSpaceDN w:val="0"/>
              <w:adjustRightInd w:val="0"/>
              <w:spacing w:after="120"/>
              <w:jc w:val="right"/>
              <w:rPr>
                <w:rFonts w:ascii="Arial" w:hAnsi="Arial" w:cs="Arial"/>
                <w:szCs w:val="24"/>
                <w:lang w:eastAsia="en-GB"/>
              </w:rPr>
            </w:pPr>
            <w:r w:rsidRPr="00323EA8">
              <w:rPr>
                <w:rFonts w:ascii="Arial" w:hAnsi="Arial" w:cs="Arial"/>
                <w:szCs w:val="24"/>
                <w:lang w:eastAsia="en-GB"/>
              </w:rPr>
              <w:t>(65,</w:t>
            </w:r>
            <w:r w:rsidR="00954C3B" w:rsidRPr="00323EA8">
              <w:rPr>
                <w:rFonts w:ascii="Arial" w:hAnsi="Arial" w:cs="Arial"/>
                <w:szCs w:val="24"/>
                <w:lang w:eastAsia="en-GB"/>
              </w:rPr>
              <w:t>121</w:t>
            </w:r>
            <w:r w:rsidRPr="00323EA8">
              <w:rPr>
                <w:rFonts w:ascii="Arial" w:hAnsi="Arial" w:cs="Arial"/>
                <w:szCs w:val="24"/>
                <w:lang w:eastAsia="en-GB"/>
              </w:rPr>
              <w:t>)</w:t>
            </w:r>
          </w:p>
        </w:tc>
        <w:tc>
          <w:tcPr>
            <w:tcW w:w="1559" w:type="dxa"/>
          </w:tcPr>
          <w:p w:rsidR="002E5D16" w:rsidRPr="00323EA8" w:rsidRDefault="00285B48" w:rsidP="00605186">
            <w:pPr>
              <w:autoSpaceDE w:val="0"/>
              <w:autoSpaceDN w:val="0"/>
              <w:adjustRightInd w:val="0"/>
              <w:spacing w:after="120"/>
              <w:jc w:val="right"/>
              <w:rPr>
                <w:rFonts w:ascii="Arial" w:hAnsi="Arial" w:cs="Arial"/>
                <w:szCs w:val="24"/>
                <w:lang w:eastAsia="en-GB"/>
              </w:rPr>
            </w:pPr>
            <w:r w:rsidRPr="00323EA8">
              <w:rPr>
                <w:rFonts w:ascii="Arial" w:hAnsi="Arial" w:cs="Arial"/>
                <w:szCs w:val="24"/>
                <w:lang w:eastAsia="en-GB"/>
              </w:rPr>
              <w:t>(</w:t>
            </w:r>
            <w:r w:rsidR="00F92B0E" w:rsidRPr="00323EA8">
              <w:rPr>
                <w:rFonts w:ascii="Arial" w:hAnsi="Arial" w:cs="Arial"/>
                <w:szCs w:val="24"/>
                <w:lang w:eastAsia="en-GB"/>
              </w:rPr>
              <w:t>63,315</w:t>
            </w:r>
            <w:r w:rsidRPr="00323EA8">
              <w:rPr>
                <w:rFonts w:ascii="Arial" w:hAnsi="Arial" w:cs="Arial"/>
                <w:szCs w:val="24"/>
                <w:lang w:eastAsia="en-GB"/>
              </w:rPr>
              <w:t>)</w:t>
            </w:r>
          </w:p>
        </w:tc>
        <w:tc>
          <w:tcPr>
            <w:tcW w:w="1418" w:type="dxa"/>
          </w:tcPr>
          <w:p w:rsidR="002E5D16" w:rsidRPr="00323EA8" w:rsidRDefault="00162372" w:rsidP="00605186">
            <w:pPr>
              <w:autoSpaceDE w:val="0"/>
              <w:autoSpaceDN w:val="0"/>
              <w:adjustRightInd w:val="0"/>
              <w:spacing w:after="120"/>
              <w:jc w:val="right"/>
              <w:rPr>
                <w:rFonts w:ascii="Arial" w:hAnsi="Arial" w:cs="Arial"/>
                <w:szCs w:val="24"/>
                <w:lang w:eastAsia="en-GB"/>
              </w:rPr>
            </w:pPr>
            <w:r w:rsidRPr="00323EA8">
              <w:rPr>
                <w:rFonts w:ascii="Arial" w:hAnsi="Arial" w:cs="Arial"/>
                <w:szCs w:val="24"/>
                <w:lang w:eastAsia="en-GB"/>
              </w:rPr>
              <w:t>1,80</w:t>
            </w:r>
            <w:r w:rsidR="006E6694" w:rsidRPr="00323EA8">
              <w:rPr>
                <w:rFonts w:ascii="Arial" w:hAnsi="Arial" w:cs="Arial"/>
                <w:szCs w:val="24"/>
                <w:lang w:eastAsia="en-GB"/>
              </w:rPr>
              <w:t>5</w:t>
            </w:r>
          </w:p>
        </w:tc>
      </w:tr>
      <w:tr w:rsidR="002E5D16" w:rsidRPr="00323EA8" w:rsidTr="00323EA8">
        <w:tc>
          <w:tcPr>
            <w:tcW w:w="4678" w:type="dxa"/>
          </w:tcPr>
          <w:p w:rsidR="002E5D16" w:rsidRPr="00323EA8" w:rsidRDefault="00954C3B" w:rsidP="00954C3B">
            <w:pPr>
              <w:autoSpaceDE w:val="0"/>
              <w:autoSpaceDN w:val="0"/>
              <w:adjustRightInd w:val="0"/>
              <w:spacing w:after="120"/>
              <w:rPr>
                <w:rFonts w:ascii="Arial" w:hAnsi="Arial" w:cs="Arial"/>
                <w:szCs w:val="24"/>
                <w:lang w:eastAsia="en-GB"/>
              </w:rPr>
            </w:pPr>
            <w:r w:rsidRPr="00323EA8">
              <w:rPr>
                <w:rFonts w:ascii="Arial" w:hAnsi="Arial" w:cs="Arial"/>
                <w:szCs w:val="24"/>
                <w:lang w:eastAsia="en-GB"/>
              </w:rPr>
              <w:t>MRF Service Charge</w:t>
            </w:r>
          </w:p>
        </w:tc>
        <w:tc>
          <w:tcPr>
            <w:tcW w:w="1559" w:type="dxa"/>
          </w:tcPr>
          <w:p w:rsidR="002E5D16" w:rsidRPr="00323EA8" w:rsidRDefault="00954C3B" w:rsidP="00954C3B">
            <w:pPr>
              <w:autoSpaceDE w:val="0"/>
              <w:autoSpaceDN w:val="0"/>
              <w:adjustRightInd w:val="0"/>
              <w:spacing w:after="120"/>
              <w:jc w:val="right"/>
              <w:rPr>
                <w:rFonts w:ascii="Arial" w:hAnsi="Arial" w:cs="Arial"/>
                <w:szCs w:val="24"/>
                <w:lang w:eastAsia="en-GB"/>
              </w:rPr>
            </w:pPr>
            <w:r w:rsidRPr="00323EA8">
              <w:rPr>
                <w:rFonts w:ascii="Arial" w:hAnsi="Arial" w:cs="Arial"/>
                <w:szCs w:val="24"/>
                <w:lang w:eastAsia="en-GB"/>
              </w:rPr>
              <w:t>(2,469</w:t>
            </w:r>
            <w:r w:rsidR="00872A60" w:rsidRPr="00323EA8">
              <w:rPr>
                <w:rFonts w:ascii="Arial" w:hAnsi="Arial" w:cs="Arial"/>
                <w:szCs w:val="24"/>
                <w:lang w:eastAsia="en-GB"/>
              </w:rPr>
              <w:t>)</w:t>
            </w:r>
          </w:p>
        </w:tc>
        <w:tc>
          <w:tcPr>
            <w:tcW w:w="1559" w:type="dxa"/>
          </w:tcPr>
          <w:p w:rsidR="002E5D16" w:rsidRPr="00323EA8" w:rsidRDefault="00285B48" w:rsidP="00605186">
            <w:pPr>
              <w:autoSpaceDE w:val="0"/>
              <w:autoSpaceDN w:val="0"/>
              <w:adjustRightInd w:val="0"/>
              <w:spacing w:after="120"/>
              <w:jc w:val="right"/>
              <w:rPr>
                <w:rFonts w:ascii="Arial" w:hAnsi="Arial" w:cs="Arial"/>
                <w:szCs w:val="24"/>
                <w:lang w:eastAsia="en-GB"/>
              </w:rPr>
            </w:pPr>
            <w:r w:rsidRPr="00323EA8">
              <w:rPr>
                <w:rFonts w:ascii="Arial" w:hAnsi="Arial" w:cs="Arial"/>
                <w:szCs w:val="24"/>
                <w:lang w:eastAsia="en-GB"/>
              </w:rPr>
              <w:t>(</w:t>
            </w:r>
            <w:r w:rsidR="00323EA8" w:rsidRPr="00323EA8">
              <w:rPr>
                <w:rFonts w:ascii="Arial" w:hAnsi="Arial" w:cs="Arial"/>
                <w:szCs w:val="24"/>
                <w:lang w:eastAsia="en-GB"/>
              </w:rPr>
              <w:t>2,432</w:t>
            </w:r>
            <w:r w:rsidRPr="00323EA8">
              <w:rPr>
                <w:rFonts w:ascii="Arial" w:hAnsi="Arial" w:cs="Arial"/>
                <w:szCs w:val="24"/>
                <w:lang w:eastAsia="en-GB"/>
              </w:rPr>
              <w:t>)</w:t>
            </w:r>
          </w:p>
        </w:tc>
        <w:tc>
          <w:tcPr>
            <w:tcW w:w="1418" w:type="dxa"/>
          </w:tcPr>
          <w:p w:rsidR="002E5D16" w:rsidRPr="00323EA8" w:rsidRDefault="00323EA8" w:rsidP="00323EA8">
            <w:pPr>
              <w:autoSpaceDE w:val="0"/>
              <w:autoSpaceDN w:val="0"/>
              <w:adjustRightInd w:val="0"/>
              <w:spacing w:after="120"/>
              <w:jc w:val="right"/>
              <w:rPr>
                <w:rFonts w:ascii="Arial" w:hAnsi="Arial" w:cs="Arial"/>
                <w:szCs w:val="24"/>
                <w:lang w:eastAsia="en-GB"/>
              </w:rPr>
            </w:pPr>
            <w:r w:rsidRPr="00323EA8">
              <w:rPr>
                <w:rFonts w:ascii="Arial" w:hAnsi="Arial" w:cs="Arial"/>
                <w:szCs w:val="24"/>
                <w:lang w:eastAsia="en-GB"/>
              </w:rPr>
              <w:t>37</w:t>
            </w:r>
          </w:p>
        </w:tc>
      </w:tr>
      <w:tr w:rsidR="002E5D16" w:rsidRPr="00323EA8" w:rsidTr="00323EA8">
        <w:tc>
          <w:tcPr>
            <w:tcW w:w="4678" w:type="dxa"/>
          </w:tcPr>
          <w:p w:rsidR="002E5D16" w:rsidRPr="00323EA8" w:rsidRDefault="00954C3B" w:rsidP="00605186">
            <w:pPr>
              <w:autoSpaceDE w:val="0"/>
              <w:autoSpaceDN w:val="0"/>
              <w:adjustRightInd w:val="0"/>
              <w:spacing w:after="120"/>
              <w:rPr>
                <w:rFonts w:ascii="Arial" w:hAnsi="Arial" w:cs="Arial"/>
                <w:szCs w:val="24"/>
                <w:lang w:eastAsia="en-GB"/>
              </w:rPr>
            </w:pPr>
            <w:r w:rsidRPr="00323EA8">
              <w:rPr>
                <w:rFonts w:ascii="Arial" w:hAnsi="Arial" w:cs="Arial"/>
                <w:szCs w:val="24"/>
                <w:lang w:eastAsia="en-GB"/>
              </w:rPr>
              <w:t>Trade and Other</w:t>
            </w:r>
          </w:p>
        </w:tc>
        <w:tc>
          <w:tcPr>
            <w:tcW w:w="1559" w:type="dxa"/>
          </w:tcPr>
          <w:p w:rsidR="002E5D16" w:rsidRPr="00323EA8" w:rsidRDefault="00954C3B" w:rsidP="00605186">
            <w:pPr>
              <w:autoSpaceDE w:val="0"/>
              <w:autoSpaceDN w:val="0"/>
              <w:adjustRightInd w:val="0"/>
              <w:spacing w:after="120"/>
              <w:jc w:val="right"/>
              <w:rPr>
                <w:rFonts w:ascii="Arial" w:hAnsi="Arial" w:cs="Arial"/>
                <w:szCs w:val="24"/>
                <w:lang w:eastAsia="en-GB"/>
              </w:rPr>
            </w:pPr>
            <w:r w:rsidRPr="00323EA8">
              <w:rPr>
                <w:rFonts w:ascii="Arial" w:hAnsi="Arial" w:cs="Arial"/>
                <w:szCs w:val="24"/>
                <w:lang w:eastAsia="en-GB"/>
              </w:rPr>
              <w:t>(2,113</w:t>
            </w:r>
            <w:r w:rsidR="00872A60" w:rsidRPr="00323EA8">
              <w:rPr>
                <w:rFonts w:ascii="Arial" w:hAnsi="Arial" w:cs="Arial"/>
                <w:szCs w:val="24"/>
                <w:lang w:eastAsia="en-GB"/>
              </w:rPr>
              <w:t>)</w:t>
            </w:r>
          </w:p>
        </w:tc>
        <w:tc>
          <w:tcPr>
            <w:tcW w:w="1559" w:type="dxa"/>
          </w:tcPr>
          <w:p w:rsidR="002E5D16" w:rsidRPr="00323EA8" w:rsidRDefault="00285B48" w:rsidP="00F92B0E">
            <w:pPr>
              <w:autoSpaceDE w:val="0"/>
              <w:autoSpaceDN w:val="0"/>
              <w:adjustRightInd w:val="0"/>
              <w:spacing w:after="120"/>
              <w:jc w:val="right"/>
              <w:rPr>
                <w:rFonts w:ascii="Arial" w:hAnsi="Arial" w:cs="Arial"/>
                <w:szCs w:val="24"/>
                <w:lang w:eastAsia="en-GB"/>
              </w:rPr>
            </w:pPr>
            <w:r w:rsidRPr="00323EA8">
              <w:rPr>
                <w:rFonts w:ascii="Arial" w:hAnsi="Arial" w:cs="Arial"/>
                <w:szCs w:val="24"/>
                <w:lang w:eastAsia="en-GB"/>
              </w:rPr>
              <w:t>(</w:t>
            </w:r>
            <w:r w:rsidR="00323EA8" w:rsidRPr="00323EA8">
              <w:rPr>
                <w:rFonts w:ascii="Arial" w:hAnsi="Arial" w:cs="Arial"/>
                <w:szCs w:val="24"/>
                <w:lang w:eastAsia="en-GB"/>
              </w:rPr>
              <w:t>3,041</w:t>
            </w:r>
            <w:r w:rsidRPr="00323EA8">
              <w:rPr>
                <w:rFonts w:ascii="Arial" w:hAnsi="Arial" w:cs="Arial"/>
                <w:szCs w:val="24"/>
                <w:lang w:eastAsia="en-GB"/>
              </w:rPr>
              <w:t>)</w:t>
            </w:r>
          </w:p>
        </w:tc>
        <w:tc>
          <w:tcPr>
            <w:tcW w:w="1418" w:type="dxa"/>
          </w:tcPr>
          <w:p w:rsidR="002E5D16" w:rsidRPr="00323EA8" w:rsidRDefault="00323EA8" w:rsidP="00605186">
            <w:pPr>
              <w:autoSpaceDE w:val="0"/>
              <w:autoSpaceDN w:val="0"/>
              <w:adjustRightInd w:val="0"/>
              <w:spacing w:after="120"/>
              <w:jc w:val="right"/>
              <w:rPr>
                <w:rFonts w:ascii="Arial" w:hAnsi="Arial" w:cs="Arial"/>
                <w:szCs w:val="24"/>
                <w:lang w:eastAsia="en-GB"/>
              </w:rPr>
            </w:pPr>
            <w:r w:rsidRPr="00323EA8">
              <w:rPr>
                <w:rFonts w:ascii="Arial" w:hAnsi="Arial" w:cs="Arial"/>
                <w:szCs w:val="24"/>
                <w:lang w:eastAsia="en-GB"/>
              </w:rPr>
              <w:t>(</w:t>
            </w:r>
            <w:r w:rsidR="006E6694" w:rsidRPr="00323EA8">
              <w:rPr>
                <w:rFonts w:ascii="Arial" w:hAnsi="Arial" w:cs="Arial"/>
                <w:szCs w:val="24"/>
                <w:lang w:eastAsia="en-GB"/>
              </w:rPr>
              <w:t>92</w:t>
            </w:r>
            <w:r w:rsidRPr="00323EA8">
              <w:rPr>
                <w:rFonts w:ascii="Arial" w:hAnsi="Arial" w:cs="Arial"/>
                <w:szCs w:val="24"/>
                <w:lang w:eastAsia="en-GB"/>
              </w:rPr>
              <w:t>8)</w:t>
            </w:r>
          </w:p>
        </w:tc>
      </w:tr>
      <w:tr w:rsidR="00323EA8" w:rsidRPr="00323EA8" w:rsidTr="0026180E">
        <w:tc>
          <w:tcPr>
            <w:tcW w:w="4678" w:type="dxa"/>
          </w:tcPr>
          <w:p w:rsidR="00323EA8" w:rsidRPr="00323EA8" w:rsidRDefault="00323EA8" w:rsidP="0026180E">
            <w:pPr>
              <w:autoSpaceDE w:val="0"/>
              <w:autoSpaceDN w:val="0"/>
              <w:adjustRightInd w:val="0"/>
              <w:spacing w:after="120"/>
              <w:rPr>
                <w:rFonts w:ascii="Arial" w:hAnsi="Arial" w:cs="Arial"/>
                <w:szCs w:val="24"/>
                <w:lang w:eastAsia="en-GB"/>
              </w:rPr>
            </w:pPr>
            <w:r w:rsidRPr="00323EA8">
              <w:rPr>
                <w:rFonts w:ascii="Arial" w:hAnsi="Arial" w:cs="Arial"/>
                <w:szCs w:val="24"/>
                <w:lang w:eastAsia="en-GB"/>
              </w:rPr>
              <w:t>PPP Income</w:t>
            </w:r>
          </w:p>
        </w:tc>
        <w:tc>
          <w:tcPr>
            <w:tcW w:w="1559" w:type="dxa"/>
          </w:tcPr>
          <w:p w:rsidR="00323EA8" w:rsidRPr="00323EA8" w:rsidRDefault="00323EA8" w:rsidP="0026180E">
            <w:pPr>
              <w:autoSpaceDE w:val="0"/>
              <w:autoSpaceDN w:val="0"/>
              <w:adjustRightInd w:val="0"/>
              <w:spacing w:after="120"/>
              <w:jc w:val="right"/>
              <w:rPr>
                <w:rFonts w:ascii="Arial" w:hAnsi="Arial" w:cs="Arial"/>
                <w:szCs w:val="24"/>
                <w:lang w:eastAsia="en-GB"/>
              </w:rPr>
            </w:pPr>
            <w:r w:rsidRPr="00323EA8">
              <w:rPr>
                <w:rFonts w:ascii="Arial" w:hAnsi="Arial" w:cs="Arial"/>
                <w:szCs w:val="24"/>
                <w:lang w:eastAsia="en-GB"/>
              </w:rPr>
              <w:t>0</w:t>
            </w:r>
          </w:p>
        </w:tc>
        <w:tc>
          <w:tcPr>
            <w:tcW w:w="1559" w:type="dxa"/>
          </w:tcPr>
          <w:p w:rsidR="00323EA8" w:rsidRPr="00323EA8" w:rsidRDefault="00323EA8" w:rsidP="0026180E">
            <w:pPr>
              <w:autoSpaceDE w:val="0"/>
              <w:autoSpaceDN w:val="0"/>
              <w:adjustRightInd w:val="0"/>
              <w:spacing w:after="120"/>
              <w:jc w:val="right"/>
              <w:rPr>
                <w:rFonts w:ascii="Arial" w:hAnsi="Arial" w:cs="Arial"/>
                <w:szCs w:val="24"/>
                <w:lang w:eastAsia="en-GB"/>
              </w:rPr>
            </w:pPr>
            <w:r w:rsidRPr="00323EA8">
              <w:rPr>
                <w:rFonts w:ascii="Arial" w:hAnsi="Arial" w:cs="Arial"/>
                <w:szCs w:val="24"/>
                <w:lang w:eastAsia="en-GB"/>
              </w:rPr>
              <w:t>(9,750)</w:t>
            </w:r>
          </w:p>
        </w:tc>
        <w:tc>
          <w:tcPr>
            <w:tcW w:w="1418" w:type="dxa"/>
          </w:tcPr>
          <w:p w:rsidR="00323EA8" w:rsidRPr="00323EA8" w:rsidRDefault="00323EA8" w:rsidP="0026180E">
            <w:pPr>
              <w:autoSpaceDE w:val="0"/>
              <w:autoSpaceDN w:val="0"/>
              <w:adjustRightInd w:val="0"/>
              <w:spacing w:after="120"/>
              <w:jc w:val="right"/>
              <w:rPr>
                <w:rFonts w:ascii="Arial" w:hAnsi="Arial" w:cs="Arial"/>
                <w:szCs w:val="24"/>
                <w:lang w:eastAsia="en-GB"/>
              </w:rPr>
            </w:pPr>
            <w:r w:rsidRPr="00323EA8">
              <w:rPr>
                <w:rFonts w:ascii="Arial" w:hAnsi="Arial" w:cs="Arial"/>
                <w:szCs w:val="24"/>
                <w:lang w:eastAsia="en-GB"/>
              </w:rPr>
              <w:t>(9,750)</w:t>
            </w:r>
          </w:p>
        </w:tc>
      </w:tr>
      <w:tr w:rsidR="002E5D16" w:rsidRPr="00323EA8" w:rsidTr="00605186">
        <w:tc>
          <w:tcPr>
            <w:tcW w:w="4678" w:type="dxa"/>
          </w:tcPr>
          <w:p w:rsidR="002E5D16" w:rsidRPr="00323EA8" w:rsidRDefault="002E5D16" w:rsidP="00605186">
            <w:pPr>
              <w:autoSpaceDE w:val="0"/>
              <w:autoSpaceDN w:val="0"/>
              <w:adjustRightInd w:val="0"/>
              <w:spacing w:after="120"/>
              <w:rPr>
                <w:rFonts w:ascii="Arial" w:hAnsi="Arial" w:cs="Arial"/>
                <w:b/>
                <w:szCs w:val="24"/>
                <w:lang w:eastAsia="en-GB"/>
              </w:rPr>
            </w:pPr>
          </w:p>
        </w:tc>
        <w:tc>
          <w:tcPr>
            <w:tcW w:w="1559" w:type="dxa"/>
            <w:tcBorders>
              <w:top w:val="single" w:sz="4" w:space="0" w:color="auto"/>
            </w:tcBorders>
          </w:tcPr>
          <w:p w:rsidR="002E5D16" w:rsidRPr="00323EA8" w:rsidRDefault="00954C3B" w:rsidP="00605186">
            <w:pPr>
              <w:autoSpaceDE w:val="0"/>
              <w:autoSpaceDN w:val="0"/>
              <w:adjustRightInd w:val="0"/>
              <w:spacing w:after="120"/>
              <w:jc w:val="right"/>
              <w:rPr>
                <w:rFonts w:ascii="Arial" w:hAnsi="Arial" w:cs="Arial"/>
                <w:b/>
                <w:szCs w:val="24"/>
                <w:lang w:eastAsia="en-GB"/>
              </w:rPr>
            </w:pPr>
            <w:r w:rsidRPr="00323EA8">
              <w:rPr>
                <w:rFonts w:ascii="Arial" w:hAnsi="Arial" w:cs="Arial"/>
                <w:b/>
                <w:szCs w:val="24"/>
                <w:lang w:eastAsia="en-GB"/>
              </w:rPr>
              <w:t>(69,703</w:t>
            </w:r>
            <w:r w:rsidR="00872A60" w:rsidRPr="00323EA8">
              <w:rPr>
                <w:rFonts w:ascii="Arial" w:hAnsi="Arial" w:cs="Arial"/>
                <w:b/>
                <w:szCs w:val="24"/>
                <w:lang w:eastAsia="en-GB"/>
              </w:rPr>
              <w:t>)</w:t>
            </w:r>
          </w:p>
        </w:tc>
        <w:tc>
          <w:tcPr>
            <w:tcW w:w="1559" w:type="dxa"/>
            <w:tcBorders>
              <w:top w:val="single" w:sz="4" w:space="0" w:color="auto"/>
            </w:tcBorders>
          </w:tcPr>
          <w:p w:rsidR="002E5D16" w:rsidRPr="00323EA8" w:rsidRDefault="00285B48" w:rsidP="00323EA8">
            <w:pPr>
              <w:autoSpaceDE w:val="0"/>
              <w:autoSpaceDN w:val="0"/>
              <w:adjustRightInd w:val="0"/>
              <w:spacing w:after="120"/>
              <w:jc w:val="right"/>
              <w:rPr>
                <w:rFonts w:ascii="Arial" w:hAnsi="Arial" w:cs="Arial"/>
                <w:b/>
                <w:szCs w:val="24"/>
                <w:lang w:eastAsia="en-GB"/>
              </w:rPr>
            </w:pPr>
            <w:r w:rsidRPr="00323EA8">
              <w:rPr>
                <w:rFonts w:ascii="Arial" w:hAnsi="Arial" w:cs="Arial"/>
                <w:b/>
                <w:szCs w:val="24"/>
                <w:lang w:eastAsia="en-GB"/>
              </w:rPr>
              <w:t>(</w:t>
            </w:r>
            <w:r w:rsidR="00323EA8">
              <w:rPr>
                <w:rFonts w:ascii="Arial" w:hAnsi="Arial" w:cs="Arial"/>
                <w:b/>
                <w:szCs w:val="24"/>
                <w:lang w:eastAsia="en-GB"/>
              </w:rPr>
              <w:t>7</w:t>
            </w:r>
            <w:r w:rsidRPr="00323EA8">
              <w:rPr>
                <w:rFonts w:ascii="Arial" w:hAnsi="Arial" w:cs="Arial"/>
                <w:b/>
                <w:szCs w:val="24"/>
                <w:lang w:eastAsia="en-GB"/>
              </w:rPr>
              <w:t>8,</w:t>
            </w:r>
            <w:r w:rsidR="00323EA8">
              <w:rPr>
                <w:rFonts w:ascii="Arial" w:hAnsi="Arial" w:cs="Arial"/>
                <w:b/>
                <w:szCs w:val="24"/>
                <w:lang w:eastAsia="en-GB"/>
              </w:rPr>
              <w:t>53</w:t>
            </w:r>
            <w:r w:rsidR="00323EA8" w:rsidRPr="00323EA8">
              <w:rPr>
                <w:rFonts w:ascii="Arial" w:hAnsi="Arial" w:cs="Arial"/>
                <w:b/>
                <w:szCs w:val="24"/>
                <w:lang w:eastAsia="en-GB"/>
              </w:rPr>
              <w:t>9</w:t>
            </w:r>
            <w:r w:rsidRPr="00323EA8">
              <w:rPr>
                <w:rFonts w:ascii="Arial" w:hAnsi="Arial" w:cs="Arial"/>
                <w:b/>
                <w:szCs w:val="24"/>
                <w:lang w:eastAsia="en-GB"/>
              </w:rPr>
              <w:t>)</w:t>
            </w:r>
          </w:p>
        </w:tc>
        <w:tc>
          <w:tcPr>
            <w:tcW w:w="1418" w:type="dxa"/>
            <w:tcBorders>
              <w:top w:val="single" w:sz="4" w:space="0" w:color="auto"/>
            </w:tcBorders>
          </w:tcPr>
          <w:p w:rsidR="002E5D16" w:rsidRPr="00323EA8" w:rsidRDefault="00323EA8" w:rsidP="00323EA8">
            <w:pPr>
              <w:autoSpaceDE w:val="0"/>
              <w:autoSpaceDN w:val="0"/>
              <w:adjustRightInd w:val="0"/>
              <w:spacing w:after="120"/>
              <w:jc w:val="right"/>
              <w:rPr>
                <w:rFonts w:ascii="Arial" w:hAnsi="Arial" w:cs="Arial"/>
                <w:b/>
                <w:szCs w:val="24"/>
                <w:lang w:eastAsia="en-GB"/>
              </w:rPr>
            </w:pPr>
            <w:r>
              <w:rPr>
                <w:rFonts w:ascii="Arial" w:hAnsi="Arial" w:cs="Arial"/>
                <w:b/>
                <w:szCs w:val="24"/>
                <w:lang w:eastAsia="en-GB"/>
              </w:rPr>
              <w:t>(8,836)</w:t>
            </w:r>
          </w:p>
        </w:tc>
      </w:tr>
      <w:tr w:rsidR="002E5D16" w:rsidRPr="00323EA8" w:rsidTr="00605186">
        <w:tc>
          <w:tcPr>
            <w:tcW w:w="4678" w:type="dxa"/>
          </w:tcPr>
          <w:p w:rsidR="002E5D16" w:rsidRPr="00323EA8" w:rsidRDefault="002E5D16" w:rsidP="00605186">
            <w:pPr>
              <w:autoSpaceDE w:val="0"/>
              <w:autoSpaceDN w:val="0"/>
              <w:adjustRightInd w:val="0"/>
              <w:spacing w:after="120"/>
              <w:rPr>
                <w:rFonts w:ascii="Arial" w:hAnsi="Arial" w:cs="Arial"/>
                <w:b/>
                <w:szCs w:val="24"/>
                <w:lang w:eastAsia="en-GB"/>
              </w:rPr>
            </w:pPr>
          </w:p>
        </w:tc>
        <w:tc>
          <w:tcPr>
            <w:tcW w:w="1559" w:type="dxa"/>
            <w:tcBorders>
              <w:bottom w:val="single" w:sz="4" w:space="0" w:color="auto"/>
            </w:tcBorders>
          </w:tcPr>
          <w:p w:rsidR="002E5D16" w:rsidRPr="00323EA8" w:rsidRDefault="002E5D16" w:rsidP="00605186">
            <w:pPr>
              <w:autoSpaceDE w:val="0"/>
              <w:autoSpaceDN w:val="0"/>
              <w:adjustRightInd w:val="0"/>
              <w:spacing w:after="120"/>
              <w:jc w:val="right"/>
              <w:rPr>
                <w:rFonts w:ascii="Arial" w:hAnsi="Arial" w:cs="Arial"/>
                <w:b/>
                <w:szCs w:val="24"/>
                <w:lang w:eastAsia="en-GB"/>
              </w:rPr>
            </w:pPr>
          </w:p>
        </w:tc>
        <w:tc>
          <w:tcPr>
            <w:tcW w:w="1559" w:type="dxa"/>
            <w:tcBorders>
              <w:bottom w:val="single" w:sz="4" w:space="0" w:color="auto"/>
            </w:tcBorders>
          </w:tcPr>
          <w:p w:rsidR="002E5D16" w:rsidRPr="00323EA8" w:rsidRDefault="002E5D16" w:rsidP="00605186">
            <w:pPr>
              <w:autoSpaceDE w:val="0"/>
              <w:autoSpaceDN w:val="0"/>
              <w:adjustRightInd w:val="0"/>
              <w:spacing w:after="120"/>
              <w:jc w:val="right"/>
              <w:rPr>
                <w:rFonts w:ascii="Arial" w:hAnsi="Arial" w:cs="Arial"/>
                <w:b/>
                <w:szCs w:val="24"/>
                <w:lang w:eastAsia="en-GB"/>
              </w:rPr>
            </w:pPr>
          </w:p>
        </w:tc>
        <w:tc>
          <w:tcPr>
            <w:tcW w:w="1418" w:type="dxa"/>
            <w:tcBorders>
              <w:bottom w:val="single" w:sz="4" w:space="0" w:color="auto"/>
            </w:tcBorders>
          </w:tcPr>
          <w:p w:rsidR="002E5D16" w:rsidRPr="00323EA8" w:rsidRDefault="002E5D16" w:rsidP="00605186">
            <w:pPr>
              <w:autoSpaceDE w:val="0"/>
              <w:autoSpaceDN w:val="0"/>
              <w:adjustRightInd w:val="0"/>
              <w:spacing w:after="120"/>
              <w:jc w:val="right"/>
              <w:rPr>
                <w:rFonts w:ascii="Arial" w:hAnsi="Arial" w:cs="Arial"/>
                <w:b/>
                <w:szCs w:val="24"/>
                <w:lang w:eastAsia="en-GB"/>
              </w:rPr>
            </w:pPr>
          </w:p>
        </w:tc>
      </w:tr>
      <w:tr w:rsidR="002E5D16" w:rsidRPr="00323EA8" w:rsidTr="00605186">
        <w:tc>
          <w:tcPr>
            <w:tcW w:w="4678" w:type="dxa"/>
          </w:tcPr>
          <w:p w:rsidR="002E5D16" w:rsidRPr="00323EA8" w:rsidRDefault="00323EA8" w:rsidP="00660A62">
            <w:pPr>
              <w:autoSpaceDE w:val="0"/>
              <w:autoSpaceDN w:val="0"/>
              <w:adjustRightInd w:val="0"/>
              <w:spacing w:after="120"/>
              <w:rPr>
                <w:rFonts w:ascii="Arial" w:hAnsi="Arial" w:cs="Arial"/>
                <w:b/>
                <w:szCs w:val="24"/>
                <w:lang w:eastAsia="en-GB"/>
              </w:rPr>
            </w:pPr>
            <w:r w:rsidRPr="00323EA8">
              <w:rPr>
                <w:rFonts w:ascii="Arial" w:hAnsi="Arial" w:cs="Arial"/>
                <w:b/>
                <w:szCs w:val="24"/>
                <w:lang w:eastAsia="en-GB"/>
              </w:rPr>
              <w:t>(</w:t>
            </w:r>
            <w:r w:rsidR="002E5D16" w:rsidRPr="00323EA8">
              <w:rPr>
                <w:rFonts w:ascii="Arial" w:hAnsi="Arial" w:cs="Arial"/>
                <w:b/>
                <w:szCs w:val="24"/>
                <w:lang w:eastAsia="en-GB"/>
              </w:rPr>
              <w:t>Surplus</w:t>
            </w:r>
            <w:r w:rsidRPr="00323EA8">
              <w:rPr>
                <w:rFonts w:ascii="Arial" w:hAnsi="Arial" w:cs="Arial"/>
                <w:b/>
                <w:szCs w:val="24"/>
                <w:lang w:eastAsia="en-GB"/>
              </w:rPr>
              <w:t>)</w:t>
            </w:r>
            <w:r w:rsidR="002E5D16" w:rsidRPr="00323EA8">
              <w:rPr>
                <w:rFonts w:ascii="Arial" w:hAnsi="Arial" w:cs="Arial"/>
                <w:b/>
                <w:szCs w:val="24"/>
                <w:lang w:eastAsia="en-GB"/>
              </w:rPr>
              <w:t xml:space="preserve"> </w:t>
            </w:r>
            <w:r w:rsidR="00660A62" w:rsidRPr="00323EA8">
              <w:rPr>
                <w:rFonts w:ascii="Arial" w:hAnsi="Arial" w:cs="Arial"/>
                <w:b/>
                <w:szCs w:val="24"/>
                <w:lang w:eastAsia="en-GB"/>
              </w:rPr>
              <w:t>on</w:t>
            </w:r>
            <w:r w:rsidR="002E5D16" w:rsidRPr="00323EA8">
              <w:rPr>
                <w:rFonts w:ascii="Arial" w:hAnsi="Arial" w:cs="Arial"/>
                <w:b/>
                <w:szCs w:val="24"/>
                <w:lang w:eastAsia="en-GB"/>
              </w:rPr>
              <w:t xml:space="preserve"> </w:t>
            </w:r>
            <w:r w:rsidR="00660A62" w:rsidRPr="00323EA8">
              <w:rPr>
                <w:rFonts w:ascii="Arial" w:hAnsi="Arial" w:cs="Arial"/>
                <w:b/>
                <w:szCs w:val="24"/>
                <w:lang w:eastAsia="en-GB"/>
              </w:rPr>
              <w:t>provision of services</w:t>
            </w:r>
          </w:p>
        </w:tc>
        <w:tc>
          <w:tcPr>
            <w:tcW w:w="1559" w:type="dxa"/>
            <w:tcBorders>
              <w:top w:val="single" w:sz="4" w:space="0" w:color="auto"/>
              <w:bottom w:val="single" w:sz="4" w:space="0" w:color="auto"/>
            </w:tcBorders>
          </w:tcPr>
          <w:p w:rsidR="002E5D16" w:rsidRPr="00323EA8" w:rsidRDefault="002E5D16" w:rsidP="00605186">
            <w:pPr>
              <w:autoSpaceDE w:val="0"/>
              <w:autoSpaceDN w:val="0"/>
              <w:adjustRightInd w:val="0"/>
              <w:spacing w:after="120"/>
              <w:jc w:val="right"/>
              <w:rPr>
                <w:rFonts w:ascii="Arial" w:hAnsi="Arial" w:cs="Arial"/>
                <w:b/>
                <w:szCs w:val="24"/>
                <w:lang w:eastAsia="en-GB"/>
              </w:rPr>
            </w:pPr>
            <w:r w:rsidRPr="00323EA8">
              <w:rPr>
                <w:rFonts w:ascii="Arial" w:hAnsi="Arial" w:cs="Arial"/>
                <w:b/>
                <w:szCs w:val="24"/>
                <w:lang w:eastAsia="en-GB"/>
              </w:rPr>
              <w:t>0</w:t>
            </w:r>
          </w:p>
        </w:tc>
        <w:tc>
          <w:tcPr>
            <w:tcW w:w="1559" w:type="dxa"/>
            <w:tcBorders>
              <w:top w:val="single" w:sz="4" w:space="0" w:color="auto"/>
              <w:bottom w:val="single" w:sz="4" w:space="0" w:color="auto"/>
            </w:tcBorders>
          </w:tcPr>
          <w:p w:rsidR="002E5D16" w:rsidRPr="00323EA8" w:rsidRDefault="00285B48" w:rsidP="00323EA8">
            <w:pPr>
              <w:autoSpaceDE w:val="0"/>
              <w:autoSpaceDN w:val="0"/>
              <w:adjustRightInd w:val="0"/>
              <w:spacing w:after="120"/>
              <w:jc w:val="right"/>
              <w:rPr>
                <w:rFonts w:ascii="Arial" w:hAnsi="Arial" w:cs="Arial"/>
                <w:b/>
                <w:szCs w:val="24"/>
                <w:lang w:eastAsia="en-GB"/>
              </w:rPr>
            </w:pPr>
            <w:r w:rsidRPr="00323EA8">
              <w:rPr>
                <w:rFonts w:ascii="Arial" w:hAnsi="Arial" w:cs="Arial"/>
                <w:b/>
                <w:szCs w:val="24"/>
                <w:lang w:eastAsia="en-GB"/>
              </w:rPr>
              <w:t>(</w:t>
            </w:r>
            <w:r w:rsidR="00323EA8">
              <w:rPr>
                <w:rFonts w:ascii="Arial" w:hAnsi="Arial" w:cs="Arial"/>
                <w:b/>
                <w:szCs w:val="24"/>
                <w:lang w:eastAsia="en-GB"/>
              </w:rPr>
              <w:t>10,472)</w:t>
            </w:r>
          </w:p>
        </w:tc>
        <w:tc>
          <w:tcPr>
            <w:tcW w:w="1418" w:type="dxa"/>
            <w:tcBorders>
              <w:top w:val="single" w:sz="4" w:space="0" w:color="auto"/>
              <w:bottom w:val="single" w:sz="4" w:space="0" w:color="auto"/>
            </w:tcBorders>
          </w:tcPr>
          <w:p w:rsidR="002E5D16" w:rsidRPr="00323EA8" w:rsidRDefault="00323EA8" w:rsidP="00323EA8">
            <w:pPr>
              <w:autoSpaceDE w:val="0"/>
              <w:autoSpaceDN w:val="0"/>
              <w:adjustRightInd w:val="0"/>
              <w:spacing w:after="120"/>
              <w:jc w:val="right"/>
              <w:rPr>
                <w:rFonts w:ascii="Arial" w:hAnsi="Arial" w:cs="Arial"/>
                <w:b/>
                <w:szCs w:val="24"/>
                <w:lang w:eastAsia="en-GB"/>
              </w:rPr>
            </w:pPr>
            <w:r w:rsidRPr="00323EA8">
              <w:rPr>
                <w:rFonts w:ascii="Arial" w:hAnsi="Arial" w:cs="Arial"/>
                <w:b/>
                <w:szCs w:val="24"/>
                <w:lang w:eastAsia="en-GB"/>
              </w:rPr>
              <w:t>(</w:t>
            </w:r>
            <w:r>
              <w:rPr>
                <w:rFonts w:ascii="Arial" w:hAnsi="Arial" w:cs="Arial"/>
                <w:b/>
                <w:szCs w:val="24"/>
                <w:lang w:eastAsia="en-GB"/>
              </w:rPr>
              <w:t>10,472</w:t>
            </w:r>
            <w:r w:rsidR="00E63637" w:rsidRPr="00323EA8">
              <w:rPr>
                <w:rFonts w:ascii="Arial" w:hAnsi="Arial" w:cs="Arial"/>
                <w:b/>
                <w:szCs w:val="24"/>
                <w:lang w:eastAsia="en-GB"/>
              </w:rPr>
              <w:t>)</w:t>
            </w:r>
          </w:p>
        </w:tc>
      </w:tr>
      <w:tr w:rsidR="00605186" w:rsidRPr="00323EA8" w:rsidTr="00605186">
        <w:tc>
          <w:tcPr>
            <w:tcW w:w="4678" w:type="dxa"/>
          </w:tcPr>
          <w:p w:rsidR="00605186" w:rsidRPr="00323EA8" w:rsidRDefault="00605186" w:rsidP="00660A62">
            <w:pPr>
              <w:autoSpaceDE w:val="0"/>
              <w:autoSpaceDN w:val="0"/>
              <w:adjustRightInd w:val="0"/>
              <w:spacing w:after="120"/>
              <w:rPr>
                <w:rFonts w:ascii="Arial" w:hAnsi="Arial" w:cs="Arial"/>
                <w:b/>
                <w:szCs w:val="24"/>
                <w:lang w:eastAsia="en-GB"/>
              </w:rPr>
            </w:pPr>
          </w:p>
        </w:tc>
        <w:tc>
          <w:tcPr>
            <w:tcW w:w="1559" w:type="dxa"/>
            <w:tcBorders>
              <w:top w:val="single" w:sz="4" w:space="0" w:color="auto"/>
            </w:tcBorders>
          </w:tcPr>
          <w:p w:rsidR="00605186" w:rsidRPr="00323EA8" w:rsidRDefault="00605186" w:rsidP="00605186">
            <w:pPr>
              <w:autoSpaceDE w:val="0"/>
              <w:autoSpaceDN w:val="0"/>
              <w:adjustRightInd w:val="0"/>
              <w:spacing w:after="120"/>
              <w:jc w:val="right"/>
              <w:rPr>
                <w:rFonts w:ascii="Arial" w:hAnsi="Arial" w:cs="Arial"/>
                <w:b/>
                <w:szCs w:val="24"/>
                <w:lang w:eastAsia="en-GB"/>
              </w:rPr>
            </w:pPr>
          </w:p>
        </w:tc>
        <w:tc>
          <w:tcPr>
            <w:tcW w:w="1559" w:type="dxa"/>
            <w:tcBorders>
              <w:top w:val="single" w:sz="4" w:space="0" w:color="auto"/>
            </w:tcBorders>
          </w:tcPr>
          <w:p w:rsidR="00605186" w:rsidRPr="00323EA8" w:rsidRDefault="00605186" w:rsidP="00605186">
            <w:pPr>
              <w:autoSpaceDE w:val="0"/>
              <w:autoSpaceDN w:val="0"/>
              <w:adjustRightInd w:val="0"/>
              <w:spacing w:after="120"/>
              <w:jc w:val="right"/>
              <w:rPr>
                <w:rFonts w:ascii="Arial" w:hAnsi="Arial" w:cs="Arial"/>
                <w:b/>
                <w:szCs w:val="24"/>
                <w:lang w:eastAsia="en-GB"/>
              </w:rPr>
            </w:pPr>
          </w:p>
        </w:tc>
        <w:tc>
          <w:tcPr>
            <w:tcW w:w="1418" w:type="dxa"/>
            <w:tcBorders>
              <w:top w:val="single" w:sz="4" w:space="0" w:color="auto"/>
            </w:tcBorders>
          </w:tcPr>
          <w:p w:rsidR="00605186" w:rsidRPr="00323EA8" w:rsidRDefault="00605186" w:rsidP="00934B70">
            <w:pPr>
              <w:autoSpaceDE w:val="0"/>
              <w:autoSpaceDN w:val="0"/>
              <w:adjustRightInd w:val="0"/>
              <w:spacing w:after="120"/>
              <w:jc w:val="right"/>
              <w:rPr>
                <w:rFonts w:ascii="Arial" w:hAnsi="Arial" w:cs="Arial"/>
                <w:b/>
                <w:szCs w:val="24"/>
                <w:lang w:eastAsia="en-GB"/>
              </w:rPr>
            </w:pPr>
          </w:p>
        </w:tc>
      </w:tr>
      <w:tr w:rsidR="00605186" w:rsidRPr="00323EA8" w:rsidTr="00605186">
        <w:tc>
          <w:tcPr>
            <w:tcW w:w="4678" w:type="dxa"/>
          </w:tcPr>
          <w:p w:rsidR="00605186" w:rsidRPr="00323EA8" w:rsidRDefault="00605186" w:rsidP="00285B48">
            <w:pPr>
              <w:autoSpaceDE w:val="0"/>
              <w:autoSpaceDN w:val="0"/>
              <w:adjustRightInd w:val="0"/>
              <w:spacing w:after="120"/>
              <w:rPr>
                <w:rFonts w:ascii="Arial" w:hAnsi="Arial" w:cs="Arial"/>
                <w:szCs w:val="24"/>
                <w:lang w:eastAsia="en-GB"/>
              </w:rPr>
            </w:pPr>
            <w:r w:rsidRPr="00323EA8">
              <w:rPr>
                <w:rFonts w:ascii="Arial" w:hAnsi="Arial" w:cs="Arial"/>
                <w:szCs w:val="24"/>
                <w:lang w:eastAsia="en-GB"/>
              </w:rPr>
              <w:t xml:space="preserve">Actuarial </w:t>
            </w:r>
            <w:r w:rsidR="00285B48" w:rsidRPr="00323EA8">
              <w:rPr>
                <w:rFonts w:ascii="Arial" w:hAnsi="Arial" w:cs="Arial"/>
                <w:szCs w:val="24"/>
                <w:lang w:eastAsia="en-GB"/>
              </w:rPr>
              <w:t>gain</w:t>
            </w:r>
            <w:r w:rsidR="001162B9" w:rsidRPr="00323EA8">
              <w:rPr>
                <w:rFonts w:ascii="Arial" w:hAnsi="Arial" w:cs="Arial"/>
                <w:szCs w:val="24"/>
                <w:lang w:eastAsia="en-GB"/>
              </w:rPr>
              <w:t xml:space="preserve"> </w:t>
            </w:r>
            <w:r w:rsidRPr="00323EA8">
              <w:rPr>
                <w:rFonts w:ascii="Arial" w:hAnsi="Arial" w:cs="Arial"/>
                <w:szCs w:val="24"/>
                <w:lang w:eastAsia="en-GB"/>
              </w:rPr>
              <w:t>on pension liability</w:t>
            </w:r>
          </w:p>
        </w:tc>
        <w:tc>
          <w:tcPr>
            <w:tcW w:w="1559" w:type="dxa"/>
          </w:tcPr>
          <w:p w:rsidR="00605186" w:rsidRPr="00323EA8" w:rsidRDefault="00605186" w:rsidP="00605186">
            <w:pPr>
              <w:autoSpaceDE w:val="0"/>
              <w:autoSpaceDN w:val="0"/>
              <w:adjustRightInd w:val="0"/>
              <w:spacing w:after="120"/>
              <w:jc w:val="right"/>
              <w:rPr>
                <w:rFonts w:ascii="Arial" w:hAnsi="Arial" w:cs="Arial"/>
                <w:szCs w:val="24"/>
                <w:lang w:eastAsia="en-GB"/>
              </w:rPr>
            </w:pPr>
            <w:r w:rsidRPr="00323EA8">
              <w:rPr>
                <w:rFonts w:ascii="Arial" w:hAnsi="Arial" w:cs="Arial"/>
                <w:szCs w:val="24"/>
                <w:lang w:eastAsia="en-GB"/>
              </w:rPr>
              <w:t>0</w:t>
            </w:r>
          </w:p>
        </w:tc>
        <w:tc>
          <w:tcPr>
            <w:tcW w:w="1559" w:type="dxa"/>
          </w:tcPr>
          <w:p w:rsidR="00605186" w:rsidRPr="00323EA8" w:rsidRDefault="00285B48" w:rsidP="007816C6">
            <w:pPr>
              <w:autoSpaceDE w:val="0"/>
              <w:autoSpaceDN w:val="0"/>
              <w:adjustRightInd w:val="0"/>
              <w:spacing w:after="120"/>
              <w:jc w:val="right"/>
              <w:rPr>
                <w:rFonts w:ascii="Arial" w:hAnsi="Arial" w:cs="Arial"/>
                <w:szCs w:val="24"/>
                <w:lang w:eastAsia="en-GB"/>
              </w:rPr>
            </w:pPr>
            <w:r w:rsidRPr="00323EA8">
              <w:rPr>
                <w:rFonts w:ascii="Arial" w:hAnsi="Arial" w:cs="Arial"/>
                <w:szCs w:val="24"/>
                <w:lang w:eastAsia="en-GB"/>
              </w:rPr>
              <w:t>(</w:t>
            </w:r>
            <w:r w:rsidR="007816C6" w:rsidRPr="00323EA8">
              <w:rPr>
                <w:rFonts w:ascii="Arial" w:hAnsi="Arial" w:cs="Arial"/>
                <w:szCs w:val="24"/>
                <w:lang w:eastAsia="en-GB"/>
              </w:rPr>
              <w:t>4,995</w:t>
            </w:r>
            <w:r w:rsidRPr="00323EA8">
              <w:rPr>
                <w:rFonts w:ascii="Arial" w:hAnsi="Arial" w:cs="Arial"/>
                <w:szCs w:val="24"/>
                <w:lang w:eastAsia="en-GB"/>
              </w:rPr>
              <w:t>)</w:t>
            </w:r>
          </w:p>
        </w:tc>
        <w:tc>
          <w:tcPr>
            <w:tcW w:w="1418" w:type="dxa"/>
          </w:tcPr>
          <w:p w:rsidR="00605186" w:rsidRPr="00323EA8" w:rsidRDefault="00E63637" w:rsidP="00934B70">
            <w:pPr>
              <w:autoSpaceDE w:val="0"/>
              <w:autoSpaceDN w:val="0"/>
              <w:adjustRightInd w:val="0"/>
              <w:spacing w:after="120"/>
              <w:jc w:val="right"/>
              <w:rPr>
                <w:rFonts w:ascii="Arial" w:hAnsi="Arial" w:cs="Arial"/>
                <w:szCs w:val="24"/>
                <w:lang w:eastAsia="en-GB"/>
              </w:rPr>
            </w:pPr>
            <w:r w:rsidRPr="00323EA8">
              <w:rPr>
                <w:rFonts w:ascii="Arial" w:hAnsi="Arial" w:cs="Arial"/>
                <w:szCs w:val="24"/>
                <w:lang w:eastAsia="en-GB"/>
              </w:rPr>
              <w:t>(</w:t>
            </w:r>
            <w:r w:rsidR="007816C6" w:rsidRPr="00323EA8">
              <w:rPr>
                <w:rFonts w:ascii="Arial" w:hAnsi="Arial" w:cs="Arial"/>
                <w:szCs w:val="24"/>
                <w:lang w:eastAsia="en-GB"/>
              </w:rPr>
              <w:t>4,995</w:t>
            </w:r>
            <w:r w:rsidRPr="00323EA8">
              <w:rPr>
                <w:rFonts w:ascii="Arial" w:hAnsi="Arial" w:cs="Arial"/>
                <w:szCs w:val="24"/>
                <w:lang w:eastAsia="en-GB"/>
              </w:rPr>
              <w:t>)</w:t>
            </w:r>
          </w:p>
        </w:tc>
      </w:tr>
      <w:tr w:rsidR="001162B9" w:rsidRPr="00323EA8" w:rsidTr="00605186">
        <w:tc>
          <w:tcPr>
            <w:tcW w:w="4678" w:type="dxa"/>
          </w:tcPr>
          <w:p w:rsidR="001162B9" w:rsidRPr="00323EA8" w:rsidRDefault="001162B9" w:rsidP="00DA4847">
            <w:pPr>
              <w:autoSpaceDE w:val="0"/>
              <w:autoSpaceDN w:val="0"/>
              <w:adjustRightInd w:val="0"/>
              <w:spacing w:after="120"/>
              <w:rPr>
                <w:rFonts w:ascii="Arial" w:hAnsi="Arial" w:cs="Arial"/>
                <w:szCs w:val="24"/>
                <w:lang w:eastAsia="en-GB"/>
              </w:rPr>
            </w:pPr>
            <w:r w:rsidRPr="00323EA8">
              <w:rPr>
                <w:rFonts w:ascii="Arial" w:hAnsi="Arial" w:cs="Arial"/>
                <w:szCs w:val="24"/>
                <w:lang w:eastAsia="en-GB"/>
              </w:rPr>
              <w:t xml:space="preserve">Property valuation </w:t>
            </w:r>
            <w:r w:rsidR="00DA4847" w:rsidRPr="00323EA8">
              <w:rPr>
                <w:rFonts w:ascii="Arial" w:hAnsi="Arial" w:cs="Arial"/>
                <w:szCs w:val="24"/>
                <w:lang w:eastAsia="en-GB"/>
              </w:rPr>
              <w:t>gains</w:t>
            </w:r>
          </w:p>
        </w:tc>
        <w:tc>
          <w:tcPr>
            <w:tcW w:w="1559" w:type="dxa"/>
          </w:tcPr>
          <w:p w:rsidR="001162B9" w:rsidRPr="00323EA8" w:rsidRDefault="001162B9" w:rsidP="00605186">
            <w:pPr>
              <w:autoSpaceDE w:val="0"/>
              <w:autoSpaceDN w:val="0"/>
              <w:adjustRightInd w:val="0"/>
              <w:spacing w:after="120"/>
              <w:jc w:val="right"/>
              <w:rPr>
                <w:rFonts w:ascii="Arial" w:hAnsi="Arial" w:cs="Arial"/>
                <w:szCs w:val="24"/>
                <w:lang w:eastAsia="en-GB"/>
              </w:rPr>
            </w:pPr>
            <w:r w:rsidRPr="00323EA8">
              <w:rPr>
                <w:rFonts w:ascii="Arial" w:hAnsi="Arial" w:cs="Arial"/>
                <w:szCs w:val="24"/>
                <w:lang w:eastAsia="en-GB"/>
              </w:rPr>
              <w:t>0</w:t>
            </w:r>
          </w:p>
        </w:tc>
        <w:tc>
          <w:tcPr>
            <w:tcW w:w="1559" w:type="dxa"/>
          </w:tcPr>
          <w:p w:rsidR="001162B9" w:rsidRPr="00323EA8" w:rsidRDefault="00285B48" w:rsidP="00285B48">
            <w:pPr>
              <w:autoSpaceDE w:val="0"/>
              <w:autoSpaceDN w:val="0"/>
              <w:adjustRightInd w:val="0"/>
              <w:spacing w:after="120"/>
              <w:jc w:val="right"/>
              <w:rPr>
                <w:rFonts w:ascii="Arial" w:hAnsi="Arial" w:cs="Arial"/>
                <w:szCs w:val="24"/>
                <w:lang w:eastAsia="en-GB"/>
              </w:rPr>
            </w:pPr>
            <w:r w:rsidRPr="00323EA8">
              <w:rPr>
                <w:rFonts w:ascii="Arial" w:hAnsi="Arial" w:cs="Arial"/>
                <w:szCs w:val="24"/>
                <w:lang w:eastAsia="en-GB"/>
              </w:rPr>
              <w:t>(46,954)</w:t>
            </w:r>
          </w:p>
        </w:tc>
        <w:tc>
          <w:tcPr>
            <w:tcW w:w="1418" w:type="dxa"/>
          </w:tcPr>
          <w:p w:rsidR="001162B9" w:rsidRPr="00323EA8" w:rsidRDefault="007816C6" w:rsidP="00400B2A">
            <w:pPr>
              <w:autoSpaceDE w:val="0"/>
              <w:autoSpaceDN w:val="0"/>
              <w:adjustRightInd w:val="0"/>
              <w:spacing w:after="120"/>
              <w:jc w:val="right"/>
              <w:rPr>
                <w:rFonts w:ascii="Arial" w:hAnsi="Arial" w:cs="Arial"/>
                <w:szCs w:val="24"/>
                <w:lang w:eastAsia="en-GB"/>
              </w:rPr>
            </w:pPr>
            <w:r w:rsidRPr="00323EA8">
              <w:rPr>
                <w:rFonts w:ascii="Arial" w:hAnsi="Arial" w:cs="Arial"/>
                <w:szCs w:val="24"/>
                <w:lang w:eastAsia="en-GB"/>
              </w:rPr>
              <w:t>(46,954</w:t>
            </w:r>
            <w:r w:rsidR="00E63637" w:rsidRPr="00323EA8">
              <w:rPr>
                <w:rFonts w:ascii="Arial" w:hAnsi="Arial" w:cs="Arial"/>
                <w:szCs w:val="24"/>
                <w:lang w:eastAsia="en-GB"/>
              </w:rPr>
              <w:t>)</w:t>
            </w:r>
          </w:p>
        </w:tc>
      </w:tr>
      <w:tr w:rsidR="00605186" w:rsidRPr="00323EA8" w:rsidTr="00605186">
        <w:tc>
          <w:tcPr>
            <w:tcW w:w="4678" w:type="dxa"/>
          </w:tcPr>
          <w:p w:rsidR="00605186" w:rsidRPr="00323EA8" w:rsidRDefault="00605186" w:rsidP="00660A62">
            <w:pPr>
              <w:autoSpaceDE w:val="0"/>
              <w:autoSpaceDN w:val="0"/>
              <w:adjustRightInd w:val="0"/>
              <w:spacing w:after="120"/>
              <w:rPr>
                <w:rFonts w:ascii="Arial" w:hAnsi="Arial" w:cs="Arial"/>
                <w:szCs w:val="24"/>
                <w:lang w:eastAsia="en-GB"/>
              </w:rPr>
            </w:pPr>
          </w:p>
        </w:tc>
        <w:tc>
          <w:tcPr>
            <w:tcW w:w="1559" w:type="dxa"/>
            <w:tcBorders>
              <w:bottom w:val="single" w:sz="4" w:space="0" w:color="auto"/>
            </w:tcBorders>
          </w:tcPr>
          <w:p w:rsidR="00605186" w:rsidRPr="00323EA8" w:rsidRDefault="00605186" w:rsidP="00605186">
            <w:pPr>
              <w:autoSpaceDE w:val="0"/>
              <w:autoSpaceDN w:val="0"/>
              <w:adjustRightInd w:val="0"/>
              <w:spacing w:after="120"/>
              <w:jc w:val="right"/>
              <w:rPr>
                <w:rFonts w:ascii="Arial" w:hAnsi="Arial" w:cs="Arial"/>
                <w:szCs w:val="24"/>
                <w:lang w:eastAsia="en-GB"/>
              </w:rPr>
            </w:pPr>
          </w:p>
        </w:tc>
        <w:tc>
          <w:tcPr>
            <w:tcW w:w="1559" w:type="dxa"/>
            <w:tcBorders>
              <w:bottom w:val="single" w:sz="4" w:space="0" w:color="auto"/>
            </w:tcBorders>
          </w:tcPr>
          <w:p w:rsidR="00605186" w:rsidRPr="00323EA8" w:rsidRDefault="00605186" w:rsidP="00605186">
            <w:pPr>
              <w:autoSpaceDE w:val="0"/>
              <w:autoSpaceDN w:val="0"/>
              <w:adjustRightInd w:val="0"/>
              <w:spacing w:after="120"/>
              <w:jc w:val="right"/>
              <w:rPr>
                <w:rFonts w:ascii="Arial" w:hAnsi="Arial" w:cs="Arial"/>
                <w:szCs w:val="24"/>
                <w:lang w:eastAsia="en-GB"/>
              </w:rPr>
            </w:pPr>
          </w:p>
        </w:tc>
        <w:tc>
          <w:tcPr>
            <w:tcW w:w="1418" w:type="dxa"/>
            <w:tcBorders>
              <w:bottom w:val="single" w:sz="4" w:space="0" w:color="auto"/>
            </w:tcBorders>
          </w:tcPr>
          <w:p w:rsidR="00605186" w:rsidRPr="00323EA8" w:rsidRDefault="00605186" w:rsidP="00934B70">
            <w:pPr>
              <w:autoSpaceDE w:val="0"/>
              <w:autoSpaceDN w:val="0"/>
              <w:adjustRightInd w:val="0"/>
              <w:spacing w:after="120"/>
              <w:jc w:val="right"/>
              <w:rPr>
                <w:rFonts w:ascii="Arial" w:hAnsi="Arial" w:cs="Arial"/>
                <w:szCs w:val="24"/>
                <w:lang w:eastAsia="en-GB"/>
              </w:rPr>
            </w:pPr>
          </w:p>
        </w:tc>
      </w:tr>
      <w:tr w:rsidR="00605186" w:rsidRPr="00323EA8" w:rsidTr="00605186">
        <w:tc>
          <w:tcPr>
            <w:tcW w:w="4678" w:type="dxa"/>
          </w:tcPr>
          <w:p w:rsidR="00605186" w:rsidRPr="00323EA8" w:rsidRDefault="00605186" w:rsidP="00660A62">
            <w:pPr>
              <w:autoSpaceDE w:val="0"/>
              <w:autoSpaceDN w:val="0"/>
              <w:adjustRightInd w:val="0"/>
              <w:spacing w:after="120"/>
              <w:rPr>
                <w:rFonts w:ascii="Arial" w:hAnsi="Arial" w:cs="Arial"/>
                <w:b/>
                <w:szCs w:val="24"/>
                <w:lang w:eastAsia="en-GB"/>
              </w:rPr>
            </w:pPr>
            <w:r w:rsidRPr="00323EA8">
              <w:rPr>
                <w:rFonts w:ascii="Arial" w:hAnsi="Arial" w:cs="Arial"/>
                <w:b/>
                <w:szCs w:val="24"/>
                <w:lang w:eastAsia="en-GB"/>
              </w:rPr>
              <w:t>Contribution to reserves</w:t>
            </w:r>
          </w:p>
        </w:tc>
        <w:tc>
          <w:tcPr>
            <w:tcW w:w="1559" w:type="dxa"/>
            <w:tcBorders>
              <w:top w:val="single" w:sz="4" w:space="0" w:color="auto"/>
              <w:bottom w:val="single" w:sz="4" w:space="0" w:color="auto"/>
            </w:tcBorders>
          </w:tcPr>
          <w:p w:rsidR="00605186" w:rsidRPr="00323EA8" w:rsidRDefault="00605186" w:rsidP="00605186">
            <w:pPr>
              <w:autoSpaceDE w:val="0"/>
              <w:autoSpaceDN w:val="0"/>
              <w:adjustRightInd w:val="0"/>
              <w:spacing w:after="120"/>
              <w:jc w:val="right"/>
              <w:rPr>
                <w:rFonts w:ascii="Arial" w:hAnsi="Arial" w:cs="Arial"/>
                <w:b/>
                <w:szCs w:val="24"/>
                <w:lang w:eastAsia="en-GB"/>
              </w:rPr>
            </w:pPr>
            <w:r w:rsidRPr="00323EA8">
              <w:rPr>
                <w:rFonts w:ascii="Arial" w:hAnsi="Arial" w:cs="Arial"/>
                <w:b/>
                <w:szCs w:val="24"/>
                <w:lang w:eastAsia="en-GB"/>
              </w:rPr>
              <w:t>0</w:t>
            </w:r>
          </w:p>
        </w:tc>
        <w:tc>
          <w:tcPr>
            <w:tcW w:w="1559" w:type="dxa"/>
            <w:tcBorders>
              <w:top w:val="single" w:sz="4" w:space="0" w:color="auto"/>
              <w:bottom w:val="single" w:sz="4" w:space="0" w:color="auto"/>
            </w:tcBorders>
          </w:tcPr>
          <w:p w:rsidR="00605186" w:rsidRPr="00323EA8" w:rsidRDefault="0033554A" w:rsidP="007816C6">
            <w:pPr>
              <w:autoSpaceDE w:val="0"/>
              <w:autoSpaceDN w:val="0"/>
              <w:adjustRightInd w:val="0"/>
              <w:spacing w:after="120"/>
              <w:jc w:val="right"/>
              <w:rPr>
                <w:rFonts w:ascii="Arial" w:hAnsi="Arial" w:cs="Arial"/>
                <w:b/>
                <w:szCs w:val="24"/>
                <w:lang w:eastAsia="en-GB"/>
              </w:rPr>
            </w:pPr>
            <w:r w:rsidRPr="00323EA8">
              <w:rPr>
                <w:rFonts w:ascii="Arial" w:hAnsi="Arial" w:cs="Arial"/>
                <w:b/>
                <w:szCs w:val="24"/>
                <w:lang w:eastAsia="en-GB"/>
              </w:rPr>
              <w:t>(</w:t>
            </w:r>
            <w:r w:rsidR="007816C6" w:rsidRPr="00323EA8">
              <w:rPr>
                <w:rFonts w:ascii="Arial" w:hAnsi="Arial" w:cs="Arial"/>
                <w:b/>
                <w:szCs w:val="24"/>
                <w:lang w:eastAsia="en-GB"/>
              </w:rPr>
              <w:t>62,421</w:t>
            </w:r>
            <w:r w:rsidRPr="00323EA8">
              <w:rPr>
                <w:rFonts w:ascii="Arial" w:hAnsi="Arial" w:cs="Arial"/>
                <w:b/>
                <w:szCs w:val="24"/>
                <w:lang w:eastAsia="en-GB"/>
              </w:rPr>
              <w:t>)</w:t>
            </w:r>
          </w:p>
        </w:tc>
        <w:tc>
          <w:tcPr>
            <w:tcW w:w="1418" w:type="dxa"/>
            <w:tcBorders>
              <w:top w:val="single" w:sz="4" w:space="0" w:color="auto"/>
              <w:bottom w:val="single" w:sz="4" w:space="0" w:color="auto"/>
            </w:tcBorders>
          </w:tcPr>
          <w:p w:rsidR="00605186" w:rsidRPr="00323EA8" w:rsidRDefault="00E63637" w:rsidP="007816C6">
            <w:pPr>
              <w:autoSpaceDE w:val="0"/>
              <w:autoSpaceDN w:val="0"/>
              <w:adjustRightInd w:val="0"/>
              <w:spacing w:after="120"/>
              <w:jc w:val="right"/>
              <w:rPr>
                <w:rFonts w:ascii="Arial" w:hAnsi="Arial" w:cs="Arial"/>
                <w:b/>
                <w:szCs w:val="24"/>
                <w:lang w:eastAsia="en-GB"/>
              </w:rPr>
            </w:pPr>
            <w:r w:rsidRPr="00323EA8">
              <w:rPr>
                <w:rFonts w:ascii="Arial" w:hAnsi="Arial" w:cs="Arial"/>
                <w:b/>
                <w:szCs w:val="24"/>
                <w:lang w:eastAsia="en-GB"/>
              </w:rPr>
              <w:t>(6</w:t>
            </w:r>
            <w:r w:rsidR="007816C6" w:rsidRPr="00323EA8">
              <w:rPr>
                <w:rFonts w:ascii="Arial" w:hAnsi="Arial" w:cs="Arial"/>
                <w:b/>
                <w:szCs w:val="24"/>
                <w:lang w:eastAsia="en-GB"/>
              </w:rPr>
              <w:t>2,421</w:t>
            </w:r>
            <w:r w:rsidRPr="00323EA8">
              <w:rPr>
                <w:rFonts w:ascii="Arial" w:hAnsi="Arial" w:cs="Arial"/>
                <w:b/>
                <w:szCs w:val="24"/>
                <w:lang w:eastAsia="en-GB"/>
              </w:rPr>
              <w:t>)</w:t>
            </w:r>
          </w:p>
        </w:tc>
      </w:tr>
      <w:tr w:rsidR="00605186" w:rsidRPr="00E93B66" w:rsidTr="00605186">
        <w:tc>
          <w:tcPr>
            <w:tcW w:w="4678" w:type="dxa"/>
          </w:tcPr>
          <w:p w:rsidR="00605186" w:rsidRPr="00605186" w:rsidRDefault="00605186" w:rsidP="00660A62">
            <w:pPr>
              <w:autoSpaceDE w:val="0"/>
              <w:autoSpaceDN w:val="0"/>
              <w:adjustRightInd w:val="0"/>
              <w:spacing w:after="120"/>
              <w:rPr>
                <w:rFonts w:ascii="Arial" w:hAnsi="Arial" w:cs="Arial"/>
                <w:b/>
                <w:szCs w:val="24"/>
                <w:lang w:eastAsia="en-GB"/>
              </w:rPr>
            </w:pPr>
          </w:p>
        </w:tc>
        <w:tc>
          <w:tcPr>
            <w:tcW w:w="1559" w:type="dxa"/>
            <w:tcBorders>
              <w:top w:val="single" w:sz="4" w:space="0" w:color="auto"/>
            </w:tcBorders>
          </w:tcPr>
          <w:p w:rsidR="00605186" w:rsidRPr="00142054" w:rsidRDefault="00605186" w:rsidP="00605186">
            <w:pPr>
              <w:autoSpaceDE w:val="0"/>
              <w:autoSpaceDN w:val="0"/>
              <w:adjustRightInd w:val="0"/>
              <w:spacing w:after="120"/>
              <w:jc w:val="right"/>
              <w:rPr>
                <w:rFonts w:ascii="Arial" w:hAnsi="Arial" w:cs="Arial"/>
                <w:b/>
                <w:szCs w:val="24"/>
                <w:lang w:eastAsia="en-GB"/>
              </w:rPr>
            </w:pPr>
          </w:p>
        </w:tc>
        <w:tc>
          <w:tcPr>
            <w:tcW w:w="1559" w:type="dxa"/>
            <w:tcBorders>
              <w:top w:val="single" w:sz="4" w:space="0" w:color="auto"/>
            </w:tcBorders>
          </w:tcPr>
          <w:p w:rsidR="00605186" w:rsidRPr="00605186" w:rsidRDefault="00605186" w:rsidP="00605186">
            <w:pPr>
              <w:autoSpaceDE w:val="0"/>
              <w:autoSpaceDN w:val="0"/>
              <w:adjustRightInd w:val="0"/>
              <w:spacing w:after="120"/>
              <w:jc w:val="right"/>
              <w:rPr>
                <w:rFonts w:ascii="Arial" w:hAnsi="Arial" w:cs="Arial"/>
                <w:b/>
                <w:szCs w:val="24"/>
                <w:lang w:eastAsia="en-GB"/>
              </w:rPr>
            </w:pPr>
          </w:p>
        </w:tc>
        <w:tc>
          <w:tcPr>
            <w:tcW w:w="1418" w:type="dxa"/>
            <w:tcBorders>
              <w:top w:val="single" w:sz="4" w:space="0" w:color="auto"/>
            </w:tcBorders>
          </w:tcPr>
          <w:p w:rsidR="00605186" w:rsidRPr="00142054" w:rsidRDefault="00605186" w:rsidP="00934B70">
            <w:pPr>
              <w:autoSpaceDE w:val="0"/>
              <w:autoSpaceDN w:val="0"/>
              <w:adjustRightInd w:val="0"/>
              <w:spacing w:after="120"/>
              <w:jc w:val="right"/>
              <w:rPr>
                <w:rFonts w:ascii="Arial" w:hAnsi="Arial" w:cs="Arial"/>
                <w:b/>
                <w:szCs w:val="24"/>
                <w:lang w:eastAsia="en-GB"/>
              </w:rPr>
            </w:pPr>
          </w:p>
        </w:tc>
      </w:tr>
    </w:tbl>
    <w:p w:rsidR="00C2799A" w:rsidRDefault="00C2799A" w:rsidP="00C2799A">
      <w:pPr>
        <w:autoSpaceDE w:val="0"/>
        <w:autoSpaceDN w:val="0"/>
        <w:adjustRightInd w:val="0"/>
        <w:spacing w:after="120"/>
        <w:jc w:val="both"/>
        <w:rPr>
          <w:rFonts w:ascii="Arial" w:hAnsi="Arial" w:cs="Arial"/>
          <w:szCs w:val="24"/>
          <w:lang w:eastAsia="en-GB"/>
        </w:rPr>
      </w:pPr>
    </w:p>
    <w:p w:rsidR="002B1DA7" w:rsidRPr="00CE0EDB" w:rsidRDefault="002B1DA7" w:rsidP="00CE0EDB">
      <w:pPr>
        <w:pStyle w:val="ListParagraph"/>
        <w:numPr>
          <w:ilvl w:val="0"/>
          <w:numId w:val="30"/>
        </w:numPr>
        <w:autoSpaceDE w:val="0"/>
        <w:autoSpaceDN w:val="0"/>
        <w:adjustRightInd w:val="0"/>
        <w:spacing w:after="120"/>
        <w:jc w:val="both"/>
        <w:rPr>
          <w:sz w:val="24"/>
          <w:szCs w:val="24"/>
          <w:lang w:eastAsia="en-GB"/>
        </w:rPr>
      </w:pPr>
      <w:r w:rsidRPr="00552CEB">
        <w:rPr>
          <w:sz w:val="24"/>
          <w:szCs w:val="24"/>
          <w:lang w:eastAsia="en-GB"/>
        </w:rPr>
        <w:t xml:space="preserve">The operational performance </w:t>
      </w:r>
      <w:r w:rsidR="00275C91" w:rsidRPr="00552CEB">
        <w:rPr>
          <w:sz w:val="24"/>
          <w:szCs w:val="24"/>
          <w:lang w:eastAsia="en-GB"/>
        </w:rPr>
        <w:t xml:space="preserve">above </w:t>
      </w:r>
      <w:r w:rsidRPr="00552CEB">
        <w:rPr>
          <w:sz w:val="24"/>
          <w:szCs w:val="24"/>
          <w:lang w:eastAsia="en-GB"/>
        </w:rPr>
        <w:t>delivered a</w:t>
      </w:r>
      <w:r w:rsidR="00660A62">
        <w:rPr>
          <w:sz w:val="24"/>
          <w:szCs w:val="24"/>
          <w:lang w:eastAsia="en-GB"/>
        </w:rPr>
        <w:t xml:space="preserve"> </w:t>
      </w:r>
      <w:r w:rsidRPr="00552CEB">
        <w:rPr>
          <w:sz w:val="24"/>
          <w:szCs w:val="24"/>
          <w:lang w:eastAsia="en-GB"/>
        </w:rPr>
        <w:t>surplus of £</w:t>
      </w:r>
      <w:r w:rsidR="00641CC6">
        <w:rPr>
          <w:sz w:val="24"/>
          <w:szCs w:val="24"/>
          <w:lang w:eastAsia="en-GB"/>
        </w:rPr>
        <w:t xml:space="preserve">10.5 </w:t>
      </w:r>
      <w:r w:rsidR="00660A62">
        <w:rPr>
          <w:sz w:val="24"/>
          <w:szCs w:val="24"/>
          <w:lang w:eastAsia="en-GB"/>
        </w:rPr>
        <w:t>million</w:t>
      </w:r>
      <w:r w:rsidRPr="00552CEB">
        <w:rPr>
          <w:sz w:val="24"/>
          <w:szCs w:val="24"/>
          <w:lang w:eastAsia="en-GB"/>
        </w:rPr>
        <w:t>.</w:t>
      </w:r>
      <w:r w:rsidR="00F77EEF">
        <w:rPr>
          <w:sz w:val="24"/>
          <w:szCs w:val="24"/>
          <w:lang w:eastAsia="en-GB"/>
        </w:rPr>
        <w:t xml:space="preserve"> </w:t>
      </w:r>
      <w:r w:rsidR="00CB1845">
        <w:rPr>
          <w:sz w:val="24"/>
          <w:szCs w:val="24"/>
          <w:lang w:eastAsia="en-GB"/>
        </w:rPr>
        <w:t xml:space="preserve">The </w:t>
      </w:r>
      <w:r w:rsidR="00323EA8">
        <w:rPr>
          <w:sz w:val="24"/>
          <w:szCs w:val="24"/>
          <w:lang w:eastAsia="en-GB"/>
        </w:rPr>
        <w:t>major component of this (£9.7</w:t>
      </w:r>
      <w:r w:rsidR="00CE0EDB">
        <w:rPr>
          <w:sz w:val="24"/>
          <w:szCs w:val="24"/>
          <w:lang w:eastAsia="en-GB"/>
        </w:rPr>
        <w:t xml:space="preserve"> million) </w:t>
      </w:r>
      <w:r w:rsidR="00CB1845">
        <w:rPr>
          <w:sz w:val="24"/>
          <w:szCs w:val="24"/>
          <w:lang w:eastAsia="en-GB"/>
        </w:rPr>
        <w:t xml:space="preserve">relates to the Authority’s share of income generated </w:t>
      </w:r>
      <w:r w:rsidR="00CE493C">
        <w:rPr>
          <w:sz w:val="24"/>
          <w:szCs w:val="24"/>
          <w:lang w:eastAsia="en-GB"/>
        </w:rPr>
        <w:t>by the energy from waste plant (PPP income), principally electricity income.</w:t>
      </w:r>
      <w:r w:rsidR="00F77EEF" w:rsidRPr="00323EA8">
        <w:rPr>
          <w:sz w:val="24"/>
          <w:szCs w:val="24"/>
          <w:lang w:eastAsia="en-GB"/>
        </w:rPr>
        <w:t xml:space="preserve"> </w:t>
      </w:r>
      <w:r w:rsidR="00F46290">
        <w:rPr>
          <w:sz w:val="24"/>
          <w:szCs w:val="24"/>
          <w:lang w:eastAsia="en-GB"/>
        </w:rPr>
        <w:t>There are three other notable operational variances as reported in previous months. The first relates to lower volumes of waste arising during the year and therefore a significant favourable variance of £5.0 million. One</w:t>
      </w:r>
      <w:r w:rsidR="00323EA8">
        <w:rPr>
          <w:sz w:val="24"/>
          <w:szCs w:val="24"/>
          <w:lang w:eastAsia="en-GB"/>
        </w:rPr>
        <w:t xml:space="preserve"> relate</w:t>
      </w:r>
      <w:r w:rsidR="00F46290">
        <w:rPr>
          <w:sz w:val="24"/>
          <w:szCs w:val="24"/>
          <w:lang w:eastAsia="en-GB"/>
        </w:rPr>
        <w:t>s to</w:t>
      </w:r>
      <w:r w:rsidR="00323EA8">
        <w:rPr>
          <w:sz w:val="24"/>
          <w:szCs w:val="24"/>
          <w:lang w:eastAsia="en-GB"/>
        </w:rPr>
        <w:t xml:space="preserve"> </w:t>
      </w:r>
      <w:r w:rsidR="00F46290">
        <w:rPr>
          <w:sz w:val="24"/>
          <w:szCs w:val="24"/>
          <w:lang w:eastAsia="en-GB"/>
        </w:rPr>
        <w:t xml:space="preserve">Other Supplies adverse variance of £1.0 million which relates to additional energy from waste plant insurance costs of £1.3 million that arise every two years and are unpredictable / not budgeted for. The third adverse variance relates to an increased depreciation charge resulting from previous years’ </w:t>
      </w:r>
      <w:r w:rsidR="00684046">
        <w:rPr>
          <w:sz w:val="24"/>
          <w:szCs w:val="24"/>
          <w:lang w:eastAsia="en-GB"/>
        </w:rPr>
        <w:t>under-</w:t>
      </w:r>
      <w:r w:rsidR="00F46290">
        <w:rPr>
          <w:sz w:val="24"/>
          <w:szCs w:val="24"/>
          <w:lang w:eastAsia="en-GB"/>
        </w:rPr>
        <w:t xml:space="preserve">depreciation </w:t>
      </w:r>
      <w:r w:rsidR="00684046">
        <w:rPr>
          <w:sz w:val="24"/>
          <w:szCs w:val="24"/>
          <w:lang w:eastAsia="en-GB"/>
        </w:rPr>
        <w:t xml:space="preserve">arising from </w:t>
      </w:r>
      <w:r w:rsidR="00F46290">
        <w:rPr>
          <w:sz w:val="24"/>
          <w:szCs w:val="24"/>
          <w:lang w:eastAsia="en-GB"/>
        </w:rPr>
        <w:t>indexation.</w:t>
      </w:r>
    </w:p>
    <w:p w:rsidR="00552CEB" w:rsidRPr="00552CEB" w:rsidRDefault="00552CEB" w:rsidP="00552CEB">
      <w:pPr>
        <w:pStyle w:val="ListParagraph"/>
        <w:autoSpaceDE w:val="0"/>
        <w:autoSpaceDN w:val="0"/>
        <w:adjustRightInd w:val="0"/>
        <w:spacing w:after="120"/>
        <w:ind w:left="360"/>
        <w:jc w:val="both"/>
        <w:rPr>
          <w:sz w:val="24"/>
          <w:szCs w:val="24"/>
          <w:lang w:eastAsia="en-GB"/>
        </w:rPr>
      </w:pPr>
    </w:p>
    <w:p w:rsidR="00552CEB" w:rsidRDefault="00CB1845" w:rsidP="00142054">
      <w:pPr>
        <w:pStyle w:val="ListParagraph"/>
        <w:numPr>
          <w:ilvl w:val="0"/>
          <w:numId w:val="30"/>
        </w:numPr>
        <w:autoSpaceDE w:val="0"/>
        <w:autoSpaceDN w:val="0"/>
        <w:adjustRightInd w:val="0"/>
        <w:spacing w:after="120"/>
        <w:jc w:val="both"/>
        <w:rPr>
          <w:sz w:val="24"/>
          <w:szCs w:val="24"/>
          <w:lang w:eastAsia="en-GB"/>
        </w:rPr>
      </w:pPr>
      <w:r w:rsidRPr="00CB1845">
        <w:rPr>
          <w:sz w:val="24"/>
          <w:szCs w:val="24"/>
          <w:lang w:eastAsia="en-GB"/>
        </w:rPr>
        <w:t xml:space="preserve">Outside of operational activities, the main variances relate to year end valuations and </w:t>
      </w:r>
      <w:r w:rsidR="00F46290">
        <w:rPr>
          <w:sz w:val="24"/>
          <w:szCs w:val="24"/>
          <w:lang w:eastAsia="en-GB"/>
        </w:rPr>
        <w:t xml:space="preserve">these </w:t>
      </w:r>
      <w:r w:rsidRPr="00CB1845">
        <w:rPr>
          <w:sz w:val="24"/>
          <w:szCs w:val="24"/>
          <w:lang w:eastAsia="en-GB"/>
        </w:rPr>
        <w:t>are detailed later in this report.</w:t>
      </w:r>
    </w:p>
    <w:p w:rsidR="008C3C59" w:rsidRPr="008C3C59" w:rsidRDefault="008C3C59" w:rsidP="008C3C59">
      <w:pPr>
        <w:pStyle w:val="ListParagraph"/>
        <w:rPr>
          <w:sz w:val="24"/>
          <w:szCs w:val="24"/>
          <w:lang w:eastAsia="en-GB"/>
        </w:rPr>
      </w:pPr>
    </w:p>
    <w:p w:rsidR="008C3C59" w:rsidRPr="00042D9A" w:rsidRDefault="008C3C59" w:rsidP="008C3C59">
      <w:pPr>
        <w:autoSpaceDE w:val="0"/>
        <w:autoSpaceDN w:val="0"/>
        <w:adjustRightInd w:val="0"/>
        <w:spacing w:after="120"/>
        <w:jc w:val="both"/>
        <w:rPr>
          <w:rFonts w:ascii="Arial" w:hAnsi="Arial" w:cs="Arial"/>
          <w:b/>
          <w:szCs w:val="24"/>
          <w:lang w:eastAsia="en-GB"/>
        </w:rPr>
      </w:pPr>
      <w:r w:rsidRPr="00042D9A">
        <w:rPr>
          <w:rFonts w:ascii="Arial" w:hAnsi="Arial" w:cs="Arial"/>
          <w:b/>
          <w:szCs w:val="24"/>
          <w:lang w:eastAsia="en-GB"/>
        </w:rPr>
        <w:lastRenderedPageBreak/>
        <w:t>P</w:t>
      </w:r>
      <w:r>
        <w:rPr>
          <w:rFonts w:ascii="Arial" w:hAnsi="Arial" w:cs="Arial"/>
          <w:b/>
          <w:szCs w:val="24"/>
          <w:lang w:eastAsia="en-GB"/>
        </w:rPr>
        <w:t xml:space="preserve">ost </w:t>
      </w:r>
      <w:r w:rsidR="00E45574">
        <w:rPr>
          <w:rFonts w:ascii="Arial" w:hAnsi="Arial" w:cs="Arial"/>
          <w:b/>
          <w:szCs w:val="24"/>
          <w:lang w:eastAsia="en-GB"/>
        </w:rPr>
        <w:t>draft account production adjustments</w:t>
      </w:r>
    </w:p>
    <w:p w:rsidR="00E45574" w:rsidRDefault="00E45574" w:rsidP="00F77EEF">
      <w:pPr>
        <w:pStyle w:val="ListParagraph"/>
        <w:numPr>
          <w:ilvl w:val="0"/>
          <w:numId w:val="30"/>
        </w:numPr>
        <w:autoSpaceDE w:val="0"/>
        <w:autoSpaceDN w:val="0"/>
        <w:adjustRightInd w:val="0"/>
        <w:spacing w:after="120"/>
        <w:jc w:val="both"/>
        <w:rPr>
          <w:sz w:val="24"/>
          <w:szCs w:val="24"/>
          <w:lang w:eastAsia="en-GB"/>
        </w:rPr>
      </w:pPr>
      <w:r>
        <w:rPr>
          <w:sz w:val="24"/>
          <w:szCs w:val="24"/>
          <w:lang w:eastAsia="en-GB"/>
        </w:rPr>
        <w:t xml:space="preserve">This year, given the volatile economic conditions (inflation) the LPFA </w:t>
      </w:r>
      <w:r w:rsidR="004F7981">
        <w:rPr>
          <w:sz w:val="24"/>
          <w:szCs w:val="24"/>
          <w:lang w:eastAsia="en-GB"/>
        </w:rPr>
        <w:t>(pension</w:t>
      </w:r>
      <w:r w:rsidR="002604F0">
        <w:rPr>
          <w:sz w:val="24"/>
          <w:szCs w:val="24"/>
          <w:lang w:eastAsia="en-GB"/>
        </w:rPr>
        <w:t xml:space="preserve"> fund</w:t>
      </w:r>
      <w:r w:rsidR="004F7981">
        <w:rPr>
          <w:sz w:val="24"/>
          <w:szCs w:val="24"/>
          <w:lang w:eastAsia="en-GB"/>
        </w:rPr>
        <w:t xml:space="preserve">) </w:t>
      </w:r>
      <w:r w:rsidR="002604F0">
        <w:rPr>
          <w:sz w:val="24"/>
          <w:szCs w:val="24"/>
          <w:lang w:eastAsia="en-GB"/>
        </w:rPr>
        <w:t xml:space="preserve">at the end of May </w:t>
      </w:r>
      <w:r>
        <w:rPr>
          <w:sz w:val="24"/>
          <w:szCs w:val="24"/>
          <w:lang w:eastAsia="en-GB"/>
        </w:rPr>
        <w:t xml:space="preserve">provided a second retrospective and more up to date valuation of the </w:t>
      </w:r>
      <w:r w:rsidR="00684046">
        <w:rPr>
          <w:sz w:val="24"/>
          <w:szCs w:val="24"/>
          <w:lang w:eastAsia="en-GB"/>
        </w:rPr>
        <w:t xml:space="preserve">year end </w:t>
      </w:r>
      <w:r>
        <w:rPr>
          <w:sz w:val="24"/>
          <w:szCs w:val="24"/>
          <w:lang w:eastAsia="en-GB"/>
        </w:rPr>
        <w:t>pension liability. The draft accounts used the original valuation showing a pension liability of £6.9 million (2021: £11.0 million). The latest valuation shows a pension liability of £8.0 million.</w:t>
      </w:r>
    </w:p>
    <w:p w:rsidR="00E45574" w:rsidRDefault="00E45574" w:rsidP="00E45574">
      <w:pPr>
        <w:pStyle w:val="ListParagraph"/>
        <w:autoSpaceDE w:val="0"/>
        <w:autoSpaceDN w:val="0"/>
        <w:adjustRightInd w:val="0"/>
        <w:spacing w:after="120"/>
        <w:ind w:left="360"/>
        <w:jc w:val="both"/>
        <w:rPr>
          <w:sz w:val="24"/>
          <w:szCs w:val="24"/>
          <w:lang w:eastAsia="en-GB"/>
        </w:rPr>
      </w:pPr>
      <w:r>
        <w:rPr>
          <w:sz w:val="24"/>
          <w:szCs w:val="24"/>
          <w:lang w:eastAsia="en-GB"/>
        </w:rPr>
        <w:t xml:space="preserve"> </w:t>
      </w:r>
    </w:p>
    <w:p w:rsidR="00E45574" w:rsidRDefault="00E45574" w:rsidP="00F77EEF">
      <w:pPr>
        <w:pStyle w:val="ListParagraph"/>
        <w:numPr>
          <w:ilvl w:val="0"/>
          <w:numId w:val="30"/>
        </w:numPr>
        <w:autoSpaceDE w:val="0"/>
        <w:autoSpaceDN w:val="0"/>
        <w:adjustRightInd w:val="0"/>
        <w:spacing w:after="120"/>
        <w:jc w:val="both"/>
        <w:rPr>
          <w:sz w:val="24"/>
          <w:szCs w:val="24"/>
          <w:lang w:eastAsia="en-GB"/>
        </w:rPr>
      </w:pPr>
      <w:r>
        <w:rPr>
          <w:sz w:val="24"/>
          <w:szCs w:val="24"/>
          <w:lang w:eastAsia="en-GB"/>
        </w:rPr>
        <w:t xml:space="preserve">The draft accounts include a </w:t>
      </w:r>
      <w:proofErr w:type="spellStart"/>
      <w:r>
        <w:rPr>
          <w:sz w:val="24"/>
          <w:szCs w:val="24"/>
          <w:lang w:eastAsia="en-GB"/>
        </w:rPr>
        <w:t>mis</w:t>
      </w:r>
      <w:proofErr w:type="spellEnd"/>
      <w:r>
        <w:rPr>
          <w:sz w:val="24"/>
          <w:szCs w:val="24"/>
          <w:lang w:eastAsia="en-GB"/>
        </w:rPr>
        <w:t xml:space="preserve">-posting between revaluation reserves and the capital adjustment account which have a neutral net effect. The revaluation reserve should be £9.9 million higher and the Capital Adjustment Account should be £9.9 million lower. </w:t>
      </w:r>
    </w:p>
    <w:p w:rsidR="00E45574" w:rsidRPr="00E45574" w:rsidRDefault="00E45574" w:rsidP="00E45574">
      <w:pPr>
        <w:pStyle w:val="ListParagraph"/>
        <w:rPr>
          <w:sz w:val="24"/>
          <w:szCs w:val="24"/>
          <w:lang w:eastAsia="en-GB"/>
        </w:rPr>
      </w:pPr>
    </w:p>
    <w:p w:rsidR="00E45574" w:rsidRDefault="00684046" w:rsidP="00F77EEF">
      <w:pPr>
        <w:pStyle w:val="ListParagraph"/>
        <w:numPr>
          <w:ilvl w:val="0"/>
          <w:numId w:val="30"/>
        </w:numPr>
        <w:autoSpaceDE w:val="0"/>
        <w:autoSpaceDN w:val="0"/>
        <w:adjustRightInd w:val="0"/>
        <w:spacing w:after="120"/>
        <w:jc w:val="both"/>
        <w:rPr>
          <w:sz w:val="24"/>
          <w:szCs w:val="24"/>
          <w:lang w:eastAsia="en-GB"/>
        </w:rPr>
      </w:pPr>
      <w:r>
        <w:rPr>
          <w:sz w:val="24"/>
          <w:szCs w:val="24"/>
          <w:lang w:eastAsia="en-GB"/>
        </w:rPr>
        <w:t xml:space="preserve">These adjustments will be applied to the final accounts and </w:t>
      </w:r>
      <w:r w:rsidR="00E45574">
        <w:rPr>
          <w:sz w:val="24"/>
          <w:szCs w:val="24"/>
          <w:lang w:eastAsia="en-GB"/>
        </w:rPr>
        <w:t xml:space="preserve">EY will naturally audit these post draft account production changes and </w:t>
      </w:r>
      <w:r>
        <w:rPr>
          <w:sz w:val="24"/>
          <w:szCs w:val="24"/>
          <w:lang w:eastAsia="en-GB"/>
        </w:rPr>
        <w:t xml:space="preserve">refer to them </w:t>
      </w:r>
      <w:r w:rsidR="00E45574">
        <w:rPr>
          <w:sz w:val="24"/>
          <w:szCs w:val="24"/>
          <w:lang w:eastAsia="en-GB"/>
        </w:rPr>
        <w:t>in their final report.</w:t>
      </w:r>
      <w:r w:rsidR="002604F0">
        <w:rPr>
          <w:sz w:val="24"/>
          <w:szCs w:val="24"/>
          <w:lang w:eastAsia="en-GB"/>
        </w:rPr>
        <w:t xml:space="preserve"> </w:t>
      </w:r>
    </w:p>
    <w:p w:rsidR="00E45574" w:rsidRDefault="00E45574" w:rsidP="00E45574">
      <w:pPr>
        <w:pStyle w:val="ListParagraph"/>
        <w:rPr>
          <w:sz w:val="24"/>
          <w:szCs w:val="24"/>
          <w:lang w:eastAsia="en-GB"/>
        </w:rPr>
      </w:pPr>
    </w:p>
    <w:p w:rsidR="00556097" w:rsidRPr="00042D9A" w:rsidRDefault="00556097" w:rsidP="00556097">
      <w:pPr>
        <w:autoSpaceDE w:val="0"/>
        <w:autoSpaceDN w:val="0"/>
        <w:adjustRightInd w:val="0"/>
        <w:spacing w:after="120"/>
        <w:jc w:val="both"/>
        <w:rPr>
          <w:rFonts w:ascii="Arial" w:hAnsi="Arial" w:cs="Arial"/>
          <w:b/>
          <w:szCs w:val="24"/>
          <w:lang w:eastAsia="en-GB"/>
        </w:rPr>
      </w:pPr>
      <w:r>
        <w:rPr>
          <w:rFonts w:ascii="Arial" w:hAnsi="Arial" w:cs="Arial"/>
          <w:b/>
          <w:szCs w:val="24"/>
          <w:lang w:eastAsia="en-GB"/>
        </w:rPr>
        <w:t>Strategic Perspective</w:t>
      </w:r>
    </w:p>
    <w:p w:rsidR="00552CEB" w:rsidRPr="00F77EEF" w:rsidRDefault="00F77EEF" w:rsidP="00F77EEF">
      <w:pPr>
        <w:pStyle w:val="ListParagraph"/>
        <w:numPr>
          <w:ilvl w:val="0"/>
          <w:numId w:val="30"/>
        </w:numPr>
        <w:autoSpaceDE w:val="0"/>
        <w:autoSpaceDN w:val="0"/>
        <w:adjustRightInd w:val="0"/>
        <w:spacing w:after="120"/>
        <w:jc w:val="both"/>
        <w:rPr>
          <w:sz w:val="24"/>
          <w:szCs w:val="24"/>
          <w:lang w:eastAsia="en-GB"/>
        </w:rPr>
      </w:pPr>
      <w:r w:rsidRPr="00A10A75">
        <w:rPr>
          <w:sz w:val="24"/>
          <w:szCs w:val="24"/>
          <w:lang w:eastAsia="en-GB"/>
        </w:rPr>
        <w:t xml:space="preserve">To provide context and a better strategic perspective, it helps to look at the financial performance over a period of time. Therefore, below the chart “Total WLWA cost per tonne” looks at how effectively the Authority has managed its costs. The total cost of delivering services (including disposal and treatment costs of all waste materials, overheads and financing but excluding </w:t>
      </w:r>
      <w:r w:rsidRPr="00CE493C">
        <w:rPr>
          <w:sz w:val="24"/>
          <w:szCs w:val="24"/>
          <w:lang w:eastAsia="en-GB"/>
        </w:rPr>
        <w:t>PPP income</w:t>
      </w:r>
      <w:r>
        <w:rPr>
          <w:sz w:val="24"/>
          <w:szCs w:val="24"/>
          <w:lang w:eastAsia="en-GB"/>
        </w:rPr>
        <w:t xml:space="preserve"> and </w:t>
      </w:r>
      <w:r w:rsidRPr="00A10A75">
        <w:rPr>
          <w:sz w:val="24"/>
          <w:szCs w:val="24"/>
          <w:lang w:eastAsia="en-GB"/>
        </w:rPr>
        <w:t>valuation adjustments) is divided by the total tonnes of waste (all materials) disposed by the Authority, to provide an overall cost per tonne figure. This has been plotted over a longer timeframe.</w:t>
      </w:r>
    </w:p>
    <w:p w:rsidR="00552CEB" w:rsidRPr="00552CEB" w:rsidRDefault="00552CEB" w:rsidP="00552CEB">
      <w:pPr>
        <w:pStyle w:val="ListParagraph"/>
        <w:rPr>
          <w:sz w:val="24"/>
          <w:szCs w:val="24"/>
          <w:lang w:eastAsia="en-GB"/>
        </w:rPr>
      </w:pPr>
    </w:p>
    <w:p w:rsidR="00AC5474" w:rsidRPr="00552CEB" w:rsidRDefault="00AC5474" w:rsidP="00AC5474">
      <w:pPr>
        <w:pStyle w:val="ListParagraph"/>
        <w:numPr>
          <w:ilvl w:val="0"/>
          <w:numId w:val="30"/>
        </w:numPr>
        <w:autoSpaceDE w:val="0"/>
        <w:autoSpaceDN w:val="0"/>
        <w:adjustRightInd w:val="0"/>
        <w:spacing w:after="120"/>
        <w:jc w:val="both"/>
        <w:rPr>
          <w:sz w:val="24"/>
          <w:szCs w:val="24"/>
          <w:lang w:eastAsia="en-GB"/>
        </w:rPr>
      </w:pPr>
      <w:r w:rsidRPr="00AC5474">
        <w:rPr>
          <w:sz w:val="24"/>
          <w:szCs w:val="24"/>
          <w:lang w:eastAsia="en-GB"/>
        </w:rPr>
        <w:t xml:space="preserve">The key feature illustrated by this chart is that the Authority’s cost per tonne is only 1.43% more than it was in 2015/16 with a 1.70% growth on the previous year. </w:t>
      </w:r>
      <w:r w:rsidR="002604F0">
        <w:rPr>
          <w:sz w:val="24"/>
          <w:szCs w:val="24"/>
          <w:lang w:eastAsia="en-GB"/>
        </w:rPr>
        <w:t xml:space="preserve">To put this </w:t>
      </w:r>
      <w:r w:rsidR="00762E53">
        <w:rPr>
          <w:sz w:val="24"/>
          <w:szCs w:val="24"/>
          <w:lang w:eastAsia="en-GB"/>
        </w:rPr>
        <w:t xml:space="preserve">into </w:t>
      </w:r>
      <w:r w:rsidR="002604F0">
        <w:rPr>
          <w:sz w:val="24"/>
          <w:szCs w:val="24"/>
          <w:lang w:eastAsia="en-GB"/>
        </w:rPr>
        <w:t>context inflation over the same period</w:t>
      </w:r>
      <w:r w:rsidR="002604F0" w:rsidRPr="00AC5474">
        <w:rPr>
          <w:sz w:val="24"/>
          <w:szCs w:val="24"/>
          <w:lang w:eastAsia="en-GB"/>
        </w:rPr>
        <w:t xml:space="preserve"> </w:t>
      </w:r>
      <w:r w:rsidR="002604F0">
        <w:rPr>
          <w:sz w:val="24"/>
          <w:szCs w:val="24"/>
          <w:lang w:eastAsia="en-GB"/>
        </w:rPr>
        <w:t>was 24</w:t>
      </w:r>
      <w:r w:rsidR="00762E53">
        <w:rPr>
          <w:sz w:val="24"/>
          <w:szCs w:val="24"/>
          <w:lang w:eastAsia="en-GB"/>
        </w:rPr>
        <w:t>.6</w:t>
      </w:r>
      <w:r w:rsidR="002604F0">
        <w:rPr>
          <w:sz w:val="24"/>
          <w:szCs w:val="24"/>
          <w:lang w:eastAsia="en-GB"/>
        </w:rPr>
        <w:t xml:space="preserve">%. </w:t>
      </w:r>
      <w:r w:rsidRPr="00AC5474">
        <w:rPr>
          <w:sz w:val="24"/>
          <w:szCs w:val="24"/>
          <w:lang w:eastAsia="en-GB"/>
        </w:rPr>
        <w:t xml:space="preserve">This reflects the Authority’s ability to deliver on service </w:t>
      </w:r>
      <w:r w:rsidR="002604F0">
        <w:rPr>
          <w:sz w:val="24"/>
          <w:szCs w:val="24"/>
          <w:lang w:eastAsia="en-GB"/>
        </w:rPr>
        <w:t xml:space="preserve">and </w:t>
      </w:r>
      <w:r w:rsidRPr="00AC5474">
        <w:rPr>
          <w:sz w:val="24"/>
          <w:szCs w:val="24"/>
          <w:lang w:eastAsia="en-GB"/>
        </w:rPr>
        <w:t>control costs. The costs are indicative of efficiencies made even during the pandemic to ensure that costs are maintained, but at no detriment to the service the Authority provides.  It is worth noting that 2016/17 included significant one off benefits resulting from the commencement of full service at the new energy recovery centre.</w:t>
      </w:r>
    </w:p>
    <w:p w:rsidR="007C5094" w:rsidRDefault="00DA4847" w:rsidP="00294FF3">
      <w:pPr>
        <w:autoSpaceDE w:val="0"/>
        <w:autoSpaceDN w:val="0"/>
        <w:adjustRightInd w:val="0"/>
        <w:spacing w:after="120"/>
        <w:jc w:val="center"/>
        <w:rPr>
          <w:rFonts w:ascii="Arial" w:hAnsi="Arial" w:cs="Arial"/>
          <w:szCs w:val="24"/>
          <w:lang w:eastAsia="en-GB"/>
        </w:rPr>
      </w:pPr>
      <w:r>
        <w:rPr>
          <w:noProof/>
          <w:lang w:eastAsia="en-GB"/>
        </w:rPr>
        <w:drawing>
          <wp:inline distT="0" distB="0" distL="0" distR="0" wp14:anchorId="73B7269E" wp14:editId="55728F85">
            <wp:extent cx="508635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B1DA7" w:rsidRPr="00552CEB" w:rsidRDefault="002B1DA7" w:rsidP="00C2799A">
      <w:pPr>
        <w:autoSpaceDE w:val="0"/>
        <w:autoSpaceDN w:val="0"/>
        <w:adjustRightInd w:val="0"/>
        <w:spacing w:after="120"/>
        <w:jc w:val="both"/>
        <w:rPr>
          <w:rFonts w:ascii="Arial" w:hAnsi="Arial" w:cs="Arial"/>
          <w:szCs w:val="24"/>
          <w:lang w:eastAsia="en-GB"/>
        </w:rPr>
      </w:pPr>
    </w:p>
    <w:p w:rsidR="009F0A37" w:rsidRPr="00552CEB" w:rsidRDefault="002E4C7C" w:rsidP="00C2799A">
      <w:pPr>
        <w:pStyle w:val="ListParagraph"/>
        <w:numPr>
          <w:ilvl w:val="0"/>
          <w:numId w:val="30"/>
        </w:numPr>
        <w:autoSpaceDE w:val="0"/>
        <w:autoSpaceDN w:val="0"/>
        <w:adjustRightInd w:val="0"/>
        <w:spacing w:after="120"/>
        <w:jc w:val="both"/>
        <w:rPr>
          <w:sz w:val="24"/>
          <w:szCs w:val="24"/>
          <w:lang w:eastAsia="en-GB"/>
        </w:rPr>
      </w:pPr>
      <w:r w:rsidRPr="00552CEB">
        <w:rPr>
          <w:sz w:val="24"/>
          <w:szCs w:val="24"/>
          <w:lang w:eastAsia="en-GB"/>
        </w:rPr>
        <w:t>It is also useful to consider how the o</w:t>
      </w:r>
      <w:r w:rsidR="00660A62">
        <w:rPr>
          <w:sz w:val="24"/>
          <w:szCs w:val="24"/>
          <w:lang w:eastAsia="en-GB"/>
        </w:rPr>
        <w:t xml:space="preserve">perational </w:t>
      </w:r>
      <w:r w:rsidRPr="00552CEB">
        <w:rPr>
          <w:sz w:val="24"/>
          <w:szCs w:val="24"/>
          <w:lang w:eastAsia="en-GB"/>
        </w:rPr>
        <w:t>performance (i.e. surplus</w:t>
      </w:r>
      <w:r w:rsidR="00660A62">
        <w:rPr>
          <w:sz w:val="24"/>
          <w:szCs w:val="24"/>
          <w:lang w:eastAsia="en-GB"/>
        </w:rPr>
        <w:t xml:space="preserve"> / </w:t>
      </w:r>
      <w:r w:rsidRPr="00552CEB">
        <w:rPr>
          <w:sz w:val="24"/>
          <w:szCs w:val="24"/>
          <w:lang w:eastAsia="en-GB"/>
        </w:rPr>
        <w:t>deficit</w:t>
      </w:r>
      <w:r w:rsidR="00660A62">
        <w:rPr>
          <w:sz w:val="24"/>
          <w:szCs w:val="24"/>
          <w:lang w:eastAsia="en-GB"/>
        </w:rPr>
        <w:t xml:space="preserve"> on provision of services</w:t>
      </w:r>
      <w:r w:rsidRPr="00552CEB">
        <w:rPr>
          <w:sz w:val="24"/>
          <w:szCs w:val="24"/>
          <w:lang w:eastAsia="en-GB"/>
        </w:rPr>
        <w:t xml:space="preserve">) has moved over </w:t>
      </w:r>
      <w:r w:rsidR="00A92176">
        <w:rPr>
          <w:sz w:val="24"/>
          <w:szCs w:val="24"/>
          <w:lang w:eastAsia="en-GB"/>
        </w:rPr>
        <w:t xml:space="preserve">the same </w:t>
      </w:r>
      <w:r w:rsidRPr="00552CEB">
        <w:rPr>
          <w:sz w:val="24"/>
          <w:szCs w:val="24"/>
          <w:lang w:eastAsia="en-GB"/>
        </w:rPr>
        <w:t>period</w:t>
      </w:r>
      <w:r w:rsidR="007C5094">
        <w:rPr>
          <w:sz w:val="24"/>
          <w:szCs w:val="24"/>
          <w:lang w:eastAsia="en-GB"/>
        </w:rPr>
        <w:t xml:space="preserve"> of time</w:t>
      </w:r>
      <w:r w:rsidRPr="00552CEB">
        <w:rPr>
          <w:sz w:val="24"/>
          <w:szCs w:val="24"/>
          <w:lang w:eastAsia="en-GB"/>
        </w:rPr>
        <w:t>.</w:t>
      </w:r>
      <w:r w:rsidR="00552CEB" w:rsidRPr="00552CEB">
        <w:rPr>
          <w:sz w:val="24"/>
          <w:szCs w:val="24"/>
          <w:lang w:eastAsia="en-GB"/>
        </w:rPr>
        <w:t xml:space="preserve"> </w:t>
      </w:r>
      <w:r w:rsidR="00660A62">
        <w:rPr>
          <w:sz w:val="24"/>
          <w:szCs w:val="24"/>
          <w:lang w:eastAsia="en-GB"/>
        </w:rPr>
        <w:t xml:space="preserve">This is </w:t>
      </w:r>
      <w:r w:rsidR="00275C91" w:rsidRPr="00552CEB">
        <w:rPr>
          <w:sz w:val="24"/>
          <w:szCs w:val="24"/>
          <w:lang w:eastAsia="en-GB"/>
        </w:rPr>
        <w:t>illustrate</w:t>
      </w:r>
      <w:r w:rsidR="00660A62">
        <w:rPr>
          <w:sz w:val="24"/>
          <w:szCs w:val="24"/>
          <w:lang w:eastAsia="en-GB"/>
        </w:rPr>
        <w:t xml:space="preserve">d in the chart below </w:t>
      </w:r>
      <w:r w:rsidR="00660A62">
        <w:rPr>
          <w:sz w:val="24"/>
          <w:szCs w:val="24"/>
          <w:lang w:eastAsia="en-GB"/>
        </w:rPr>
        <w:lastRenderedPageBreak/>
        <w:t xml:space="preserve">which </w:t>
      </w:r>
      <w:r w:rsidR="00275C91" w:rsidRPr="00552CEB">
        <w:rPr>
          <w:sz w:val="24"/>
          <w:szCs w:val="24"/>
          <w:lang w:eastAsia="en-GB"/>
        </w:rPr>
        <w:t>shows that</w:t>
      </w:r>
      <w:r w:rsidR="005F7167" w:rsidRPr="00552CEB">
        <w:rPr>
          <w:sz w:val="24"/>
          <w:szCs w:val="24"/>
          <w:lang w:eastAsia="en-GB"/>
        </w:rPr>
        <w:t xml:space="preserve"> </w:t>
      </w:r>
      <w:r w:rsidR="009F0A37" w:rsidRPr="00552CEB">
        <w:rPr>
          <w:sz w:val="24"/>
          <w:szCs w:val="24"/>
          <w:lang w:eastAsia="en-GB"/>
        </w:rPr>
        <w:t xml:space="preserve">the Authority </w:t>
      </w:r>
      <w:r w:rsidR="00AC5474">
        <w:rPr>
          <w:sz w:val="24"/>
          <w:szCs w:val="24"/>
          <w:lang w:eastAsia="en-GB"/>
        </w:rPr>
        <w:t>has e</w:t>
      </w:r>
      <w:r w:rsidR="009F0A37" w:rsidRPr="00552CEB">
        <w:rPr>
          <w:sz w:val="24"/>
          <w:szCs w:val="24"/>
          <w:lang w:eastAsia="en-GB"/>
        </w:rPr>
        <w:t>nsure</w:t>
      </w:r>
      <w:r w:rsidR="00AC5474">
        <w:rPr>
          <w:sz w:val="24"/>
          <w:szCs w:val="24"/>
          <w:lang w:eastAsia="en-GB"/>
        </w:rPr>
        <w:t>d</w:t>
      </w:r>
      <w:r w:rsidR="009F0A37" w:rsidRPr="00552CEB">
        <w:rPr>
          <w:sz w:val="24"/>
          <w:szCs w:val="24"/>
          <w:lang w:eastAsia="en-GB"/>
        </w:rPr>
        <w:t xml:space="preserve"> that sufficient funds are being generated from day to day activities to meet day to day obligations. </w:t>
      </w:r>
    </w:p>
    <w:p w:rsidR="00DA6DB3" w:rsidRDefault="008C0906" w:rsidP="00A92176">
      <w:pPr>
        <w:autoSpaceDE w:val="0"/>
        <w:autoSpaceDN w:val="0"/>
        <w:adjustRightInd w:val="0"/>
        <w:spacing w:after="120"/>
        <w:jc w:val="center"/>
        <w:rPr>
          <w:rFonts w:ascii="Arial" w:hAnsi="Arial" w:cs="Arial"/>
          <w:szCs w:val="24"/>
          <w:lang w:eastAsia="en-GB"/>
        </w:rPr>
      </w:pPr>
      <w:r>
        <w:rPr>
          <w:noProof/>
          <w:lang w:eastAsia="en-GB"/>
        </w:rPr>
        <w:drawing>
          <wp:inline distT="0" distB="0" distL="0" distR="0" wp14:anchorId="376005B6" wp14:editId="465722F2">
            <wp:extent cx="5191125" cy="2914650"/>
            <wp:effectExtent l="0" t="0" r="9525"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52CEB" w:rsidRDefault="00552CEB" w:rsidP="00C2799A">
      <w:pPr>
        <w:autoSpaceDE w:val="0"/>
        <w:autoSpaceDN w:val="0"/>
        <w:adjustRightInd w:val="0"/>
        <w:spacing w:after="120"/>
        <w:jc w:val="both"/>
        <w:rPr>
          <w:rFonts w:ascii="Arial" w:hAnsi="Arial" w:cs="Arial"/>
          <w:szCs w:val="24"/>
          <w:lang w:eastAsia="en-GB"/>
        </w:rPr>
      </w:pPr>
    </w:p>
    <w:p w:rsidR="00A92176" w:rsidRDefault="00A92176" w:rsidP="00552CEB">
      <w:pPr>
        <w:pStyle w:val="ListParagraph"/>
        <w:numPr>
          <w:ilvl w:val="0"/>
          <w:numId w:val="30"/>
        </w:numPr>
        <w:autoSpaceDE w:val="0"/>
        <w:autoSpaceDN w:val="0"/>
        <w:adjustRightInd w:val="0"/>
        <w:spacing w:after="120"/>
        <w:jc w:val="both"/>
        <w:rPr>
          <w:sz w:val="24"/>
          <w:szCs w:val="24"/>
          <w:lang w:eastAsia="en-GB"/>
        </w:rPr>
      </w:pPr>
      <w:r>
        <w:rPr>
          <w:sz w:val="24"/>
          <w:szCs w:val="24"/>
          <w:lang w:eastAsia="en-GB"/>
        </w:rPr>
        <w:t xml:space="preserve">Both of the charts above show that from </w:t>
      </w:r>
      <w:r w:rsidR="00F77A10" w:rsidRPr="00552CEB">
        <w:rPr>
          <w:sz w:val="24"/>
          <w:szCs w:val="24"/>
          <w:lang w:eastAsia="en-GB"/>
        </w:rPr>
        <w:t xml:space="preserve">strategic </w:t>
      </w:r>
      <w:r>
        <w:rPr>
          <w:sz w:val="24"/>
          <w:szCs w:val="24"/>
          <w:lang w:eastAsia="en-GB"/>
        </w:rPr>
        <w:t xml:space="preserve">longer term </w:t>
      </w:r>
      <w:r w:rsidR="00F77A10" w:rsidRPr="00552CEB">
        <w:rPr>
          <w:sz w:val="24"/>
          <w:szCs w:val="24"/>
          <w:lang w:eastAsia="en-GB"/>
        </w:rPr>
        <w:t xml:space="preserve">perspective and also from </w:t>
      </w:r>
      <w:r>
        <w:rPr>
          <w:sz w:val="24"/>
          <w:szCs w:val="24"/>
          <w:lang w:eastAsia="en-GB"/>
        </w:rPr>
        <w:t xml:space="preserve">the </w:t>
      </w:r>
      <w:r w:rsidR="00F77A10" w:rsidRPr="00552CEB">
        <w:rPr>
          <w:sz w:val="24"/>
          <w:szCs w:val="24"/>
          <w:lang w:eastAsia="en-GB"/>
        </w:rPr>
        <w:t xml:space="preserve">individual year’s </w:t>
      </w:r>
      <w:r>
        <w:rPr>
          <w:sz w:val="24"/>
          <w:szCs w:val="24"/>
          <w:lang w:eastAsia="en-GB"/>
        </w:rPr>
        <w:t>results</w:t>
      </w:r>
      <w:r w:rsidR="00F77A10" w:rsidRPr="00552CEB">
        <w:rPr>
          <w:sz w:val="24"/>
          <w:szCs w:val="24"/>
          <w:lang w:eastAsia="en-GB"/>
        </w:rPr>
        <w:t xml:space="preserve">, the financial performance has been good. </w:t>
      </w:r>
    </w:p>
    <w:p w:rsidR="00A92176" w:rsidRDefault="00A92176" w:rsidP="00A92176">
      <w:pPr>
        <w:pStyle w:val="ListParagraph"/>
        <w:autoSpaceDE w:val="0"/>
        <w:autoSpaceDN w:val="0"/>
        <w:adjustRightInd w:val="0"/>
        <w:spacing w:after="120"/>
        <w:ind w:left="360"/>
        <w:jc w:val="both"/>
        <w:rPr>
          <w:sz w:val="24"/>
          <w:szCs w:val="24"/>
          <w:lang w:eastAsia="en-GB"/>
        </w:rPr>
      </w:pPr>
    </w:p>
    <w:p w:rsidR="00F77A10" w:rsidRPr="00552CEB" w:rsidRDefault="00A92176" w:rsidP="00552CEB">
      <w:pPr>
        <w:pStyle w:val="ListParagraph"/>
        <w:numPr>
          <w:ilvl w:val="0"/>
          <w:numId w:val="30"/>
        </w:numPr>
        <w:autoSpaceDE w:val="0"/>
        <w:autoSpaceDN w:val="0"/>
        <w:adjustRightInd w:val="0"/>
        <w:spacing w:after="120"/>
        <w:jc w:val="both"/>
        <w:rPr>
          <w:sz w:val="24"/>
          <w:szCs w:val="24"/>
          <w:lang w:eastAsia="en-GB"/>
        </w:rPr>
      </w:pPr>
      <w:r>
        <w:rPr>
          <w:sz w:val="24"/>
          <w:szCs w:val="24"/>
          <w:lang w:eastAsia="en-GB"/>
        </w:rPr>
        <w:t>As well as performance, i</w:t>
      </w:r>
      <w:r w:rsidR="00F77A10" w:rsidRPr="00552CEB">
        <w:rPr>
          <w:sz w:val="24"/>
          <w:szCs w:val="24"/>
          <w:lang w:eastAsia="en-GB"/>
        </w:rPr>
        <w:t>t is also important to consider the financial strength of the Authority. A good indicator of financial strength is the level of reserves. The table below outlines the change in the Authority’s reserve position during the year.</w:t>
      </w:r>
    </w:p>
    <w:tbl>
      <w:tblPr>
        <w:tblW w:w="0" w:type="auto"/>
        <w:tblInd w:w="959" w:type="dxa"/>
        <w:tblLook w:val="04A0" w:firstRow="1" w:lastRow="0" w:firstColumn="1" w:lastColumn="0" w:noHBand="0" w:noVBand="1"/>
      </w:tblPr>
      <w:tblGrid>
        <w:gridCol w:w="4678"/>
        <w:gridCol w:w="1559"/>
        <w:gridCol w:w="1559"/>
      </w:tblGrid>
      <w:tr w:rsidR="00C2799A" w:rsidTr="00605186">
        <w:tc>
          <w:tcPr>
            <w:tcW w:w="4678" w:type="dxa"/>
          </w:tcPr>
          <w:p w:rsidR="00C2799A" w:rsidRDefault="00C2799A" w:rsidP="00605186">
            <w:pPr>
              <w:autoSpaceDE w:val="0"/>
              <w:autoSpaceDN w:val="0"/>
              <w:adjustRightInd w:val="0"/>
              <w:spacing w:after="120"/>
              <w:rPr>
                <w:rFonts w:ascii="Arial" w:hAnsi="Arial" w:cs="Arial"/>
                <w:b/>
                <w:szCs w:val="24"/>
                <w:lang w:eastAsia="en-GB"/>
              </w:rPr>
            </w:pPr>
            <w:r>
              <w:rPr>
                <w:rFonts w:ascii="Arial" w:hAnsi="Arial" w:cs="Arial"/>
                <w:b/>
                <w:szCs w:val="24"/>
                <w:lang w:eastAsia="en-GB"/>
              </w:rPr>
              <w:t>Reserves</w:t>
            </w:r>
          </w:p>
        </w:tc>
        <w:tc>
          <w:tcPr>
            <w:tcW w:w="1559" w:type="dxa"/>
          </w:tcPr>
          <w:p w:rsidR="00C2799A" w:rsidRPr="0049048D" w:rsidRDefault="00C2799A" w:rsidP="00605186">
            <w:pPr>
              <w:autoSpaceDE w:val="0"/>
              <w:autoSpaceDN w:val="0"/>
              <w:adjustRightInd w:val="0"/>
              <w:spacing w:after="120"/>
              <w:jc w:val="right"/>
              <w:rPr>
                <w:rFonts w:ascii="Arial" w:hAnsi="Arial" w:cs="Arial"/>
                <w:b/>
                <w:szCs w:val="24"/>
                <w:lang w:eastAsia="en-GB"/>
              </w:rPr>
            </w:pPr>
          </w:p>
        </w:tc>
        <w:tc>
          <w:tcPr>
            <w:tcW w:w="1559" w:type="dxa"/>
          </w:tcPr>
          <w:p w:rsidR="00C2799A" w:rsidRDefault="00C2799A" w:rsidP="00605186">
            <w:pPr>
              <w:autoSpaceDE w:val="0"/>
              <w:autoSpaceDN w:val="0"/>
              <w:adjustRightInd w:val="0"/>
              <w:spacing w:after="120"/>
              <w:jc w:val="right"/>
              <w:rPr>
                <w:rFonts w:ascii="Arial" w:hAnsi="Arial" w:cs="Arial"/>
                <w:b/>
                <w:szCs w:val="24"/>
                <w:lang w:eastAsia="en-GB"/>
              </w:rPr>
            </w:pPr>
          </w:p>
        </w:tc>
      </w:tr>
      <w:tr w:rsidR="00C2799A" w:rsidRPr="004A6EFA" w:rsidTr="00605186">
        <w:tc>
          <w:tcPr>
            <w:tcW w:w="4678" w:type="dxa"/>
          </w:tcPr>
          <w:p w:rsidR="00C2799A" w:rsidRPr="004A6EFA" w:rsidRDefault="00C2799A" w:rsidP="00605186">
            <w:pPr>
              <w:autoSpaceDE w:val="0"/>
              <w:autoSpaceDN w:val="0"/>
              <w:adjustRightInd w:val="0"/>
              <w:spacing w:after="120"/>
              <w:rPr>
                <w:rFonts w:ascii="Arial" w:hAnsi="Arial" w:cs="Arial"/>
                <w:szCs w:val="24"/>
                <w:lang w:eastAsia="en-GB"/>
              </w:rPr>
            </w:pPr>
            <w:r w:rsidRPr="004A6EFA">
              <w:rPr>
                <w:rFonts w:ascii="Arial" w:hAnsi="Arial" w:cs="Arial"/>
                <w:szCs w:val="24"/>
                <w:lang w:eastAsia="en-GB"/>
              </w:rPr>
              <w:t xml:space="preserve">Reserves </w:t>
            </w:r>
            <w:proofErr w:type="spellStart"/>
            <w:r w:rsidRPr="004A6EFA">
              <w:rPr>
                <w:rFonts w:ascii="Arial" w:hAnsi="Arial" w:cs="Arial"/>
                <w:szCs w:val="24"/>
                <w:lang w:eastAsia="en-GB"/>
              </w:rPr>
              <w:t>b/f</w:t>
            </w:r>
            <w:proofErr w:type="spellEnd"/>
          </w:p>
        </w:tc>
        <w:tc>
          <w:tcPr>
            <w:tcW w:w="1559" w:type="dxa"/>
          </w:tcPr>
          <w:p w:rsidR="00C2799A" w:rsidRPr="004A6EFA" w:rsidRDefault="00C2799A" w:rsidP="00605186">
            <w:pPr>
              <w:autoSpaceDE w:val="0"/>
              <w:autoSpaceDN w:val="0"/>
              <w:adjustRightInd w:val="0"/>
              <w:spacing w:after="120"/>
              <w:jc w:val="right"/>
              <w:rPr>
                <w:rFonts w:ascii="Arial" w:hAnsi="Arial" w:cs="Arial"/>
                <w:szCs w:val="24"/>
                <w:lang w:eastAsia="en-GB"/>
              </w:rPr>
            </w:pPr>
          </w:p>
        </w:tc>
        <w:tc>
          <w:tcPr>
            <w:tcW w:w="1559" w:type="dxa"/>
          </w:tcPr>
          <w:p w:rsidR="00C2799A" w:rsidRPr="004A6EFA" w:rsidRDefault="00E765BB" w:rsidP="00D11D6A">
            <w:pPr>
              <w:autoSpaceDE w:val="0"/>
              <w:autoSpaceDN w:val="0"/>
              <w:adjustRightInd w:val="0"/>
              <w:spacing w:after="120"/>
              <w:jc w:val="right"/>
              <w:rPr>
                <w:rFonts w:ascii="Arial" w:hAnsi="Arial" w:cs="Arial"/>
                <w:szCs w:val="24"/>
                <w:lang w:eastAsia="en-GB"/>
              </w:rPr>
            </w:pPr>
            <w:r>
              <w:rPr>
                <w:rFonts w:ascii="Arial" w:hAnsi="Arial" w:cs="Arial"/>
                <w:szCs w:val="24"/>
                <w:lang w:eastAsia="en-GB"/>
              </w:rPr>
              <w:t>15,58</w:t>
            </w:r>
            <w:r w:rsidR="00D11D6A">
              <w:rPr>
                <w:rFonts w:ascii="Arial" w:hAnsi="Arial" w:cs="Arial"/>
                <w:szCs w:val="24"/>
                <w:lang w:eastAsia="en-GB"/>
              </w:rPr>
              <w:t>6</w:t>
            </w:r>
          </w:p>
        </w:tc>
      </w:tr>
      <w:tr w:rsidR="00C2799A" w:rsidRPr="004A6EFA" w:rsidTr="00605186">
        <w:tc>
          <w:tcPr>
            <w:tcW w:w="4678" w:type="dxa"/>
          </w:tcPr>
          <w:p w:rsidR="00C2799A" w:rsidRPr="004A6EFA" w:rsidRDefault="00B33235" w:rsidP="00B33235">
            <w:pPr>
              <w:autoSpaceDE w:val="0"/>
              <w:autoSpaceDN w:val="0"/>
              <w:adjustRightInd w:val="0"/>
              <w:spacing w:after="120"/>
              <w:rPr>
                <w:rFonts w:ascii="Arial" w:hAnsi="Arial" w:cs="Arial"/>
                <w:szCs w:val="24"/>
                <w:lang w:eastAsia="en-GB"/>
              </w:rPr>
            </w:pPr>
            <w:r>
              <w:rPr>
                <w:rFonts w:ascii="Arial" w:hAnsi="Arial" w:cs="Arial"/>
                <w:szCs w:val="24"/>
                <w:lang w:eastAsia="en-GB"/>
              </w:rPr>
              <w:t>Contribution to reserves</w:t>
            </w:r>
          </w:p>
        </w:tc>
        <w:tc>
          <w:tcPr>
            <w:tcW w:w="1559" w:type="dxa"/>
          </w:tcPr>
          <w:p w:rsidR="00C2799A" w:rsidRPr="004A6EFA" w:rsidRDefault="00C2799A" w:rsidP="00605186">
            <w:pPr>
              <w:autoSpaceDE w:val="0"/>
              <w:autoSpaceDN w:val="0"/>
              <w:adjustRightInd w:val="0"/>
              <w:spacing w:after="120"/>
              <w:rPr>
                <w:rFonts w:ascii="Arial" w:hAnsi="Arial" w:cs="Arial"/>
                <w:szCs w:val="24"/>
                <w:lang w:eastAsia="en-GB"/>
              </w:rPr>
            </w:pPr>
          </w:p>
        </w:tc>
        <w:tc>
          <w:tcPr>
            <w:tcW w:w="1559" w:type="dxa"/>
          </w:tcPr>
          <w:p w:rsidR="00C2799A" w:rsidRPr="004A6EFA" w:rsidRDefault="00DF2C77" w:rsidP="00E35AEF">
            <w:pPr>
              <w:autoSpaceDE w:val="0"/>
              <w:autoSpaceDN w:val="0"/>
              <w:adjustRightInd w:val="0"/>
              <w:spacing w:after="120"/>
              <w:jc w:val="right"/>
              <w:rPr>
                <w:rFonts w:ascii="Arial" w:hAnsi="Arial" w:cs="Arial"/>
                <w:szCs w:val="24"/>
                <w:lang w:eastAsia="en-GB"/>
              </w:rPr>
            </w:pPr>
            <w:r>
              <w:rPr>
                <w:rFonts w:ascii="Arial" w:hAnsi="Arial" w:cs="Arial"/>
                <w:szCs w:val="24"/>
                <w:lang w:eastAsia="en-GB"/>
              </w:rPr>
              <w:t>62,421</w:t>
            </w:r>
          </w:p>
        </w:tc>
      </w:tr>
      <w:tr w:rsidR="00556097" w:rsidRPr="004A6EFA" w:rsidTr="00605186">
        <w:tc>
          <w:tcPr>
            <w:tcW w:w="4678" w:type="dxa"/>
          </w:tcPr>
          <w:p w:rsidR="00556097" w:rsidRDefault="00556097" w:rsidP="00556097">
            <w:pPr>
              <w:autoSpaceDE w:val="0"/>
              <w:autoSpaceDN w:val="0"/>
              <w:adjustRightInd w:val="0"/>
              <w:spacing w:after="120"/>
              <w:rPr>
                <w:rFonts w:ascii="Arial" w:hAnsi="Arial" w:cs="Arial"/>
                <w:szCs w:val="24"/>
                <w:lang w:eastAsia="en-GB"/>
              </w:rPr>
            </w:pPr>
            <w:r>
              <w:rPr>
                <w:rFonts w:ascii="Arial" w:hAnsi="Arial" w:cs="Arial"/>
                <w:szCs w:val="24"/>
                <w:lang w:eastAsia="en-GB"/>
              </w:rPr>
              <w:t>P</w:t>
            </w:r>
            <w:r w:rsidR="00684046">
              <w:rPr>
                <w:rFonts w:ascii="Arial" w:hAnsi="Arial" w:cs="Arial"/>
                <w:szCs w:val="24"/>
                <w:lang w:eastAsia="en-GB"/>
              </w:rPr>
              <w:t>ost year end p</w:t>
            </w:r>
            <w:r>
              <w:rPr>
                <w:rFonts w:ascii="Arial" w:hAnsi="Arial" w:cs="Arial"/>
                <w:szCs w:val="24"/>
                <w:lang w:eastAsia="en-GB"/>
              </w:rPr>
              <w:t>ension valuation adjustment</w:t>
            </w:r>
          </w:p>
        </w:tc>
        <w:tc>
          <w:tcPr>
            <w:tcW w:w="1559" w:type="dxa"/>
          </w:tcPr>
          <w:p w:rsidR="00556097" w:rsidRPr="004A6EFA" w:rsidRDefault="00556097" w:rsidP="00605186">
            <w:pPr>
              <w:autoSpaceDE w:val="0"/>
              <w:autoSpaceDN w:val="0"/>
              <w:adjustRightInd w:val="0"/>
              <w:spacing w:after="120"/>
              <w:rPr>
                <w:rFonts w:ascii="Arial" w:hAnsi="Arial" w:cs="Arial"/>
                <w:szCs w:val="24"/>
                <w:lang w:eastAsia="en-GB"/>
              </w:rPr>
            </w:pPr>
          </w:p>
        </w:tc>
        <w:tc>
          <w:tcPr>
            <w:tcW w:w="1559" w:type="dxa"/>
          </w:tcPr>
          <w:p w:rsidR="00556097" w:rsidRDefault="00556097" w:rsidP="00E35AEF">
            <w:pPr>
              <w:autoSpaceDE w:val="0"/>
              <w:autoSpaceDN w:val="0"/>
              <w:adjustRightInd w:val="0"/>
              <w:spacing w:after="120"/>
              <w:jc w:val="right"/>
              <w:rPr>
                <w:rFonts w:ascii="Arial" w:hAnsi="Arial" w:cs="Arial"/>
                <w:szCs w:val="24"/>
                <w:lang w:eastAsia="en-GB"/>
              </w:rPr>
            </w:pPr>
            <w:r>
              <w:rPr>
                <w:rFonts w:ascii="Arial" w:hAnsi="Arial" w:cs="Arial"/>
                <w:szCs w:val="24"/>
                <w:lang w:eastAsia="en-GB"/>
              </w:rPr>
              <w:t>(1,074)</w:t>
            </w:r>
          </w:p>
        </w:tc>
      </w:tr>
      <w:tr w:rsidR="00C2799A" w:rsidRPr="004A6EFA" w:rsidTr="00605186">
        <w:tc>
          <w:tcPr>
            <w:tcW w:w="4678" w:type="dxa"/>
          </w:tcPr>
          <w:p w:rsidR="00C2799A" w:rsidRPr="004A6EFA" w:rsidRDefault="00C2799A" w:rsidP="00605186">
            <w:pPr>
              <w:autoSpaceDE w:val="0"/>
              <w:autoSpaceDN w:val="0"/>
              <w:adjustRightInd w:val="0"/>
              <w:spacing w:after="120"/>
              <w:rPr>
                <w:rFonts w:ascii="Arial" w:hAnsi="Arial" w:cs="Arial"/>
                <w:b/>
                <w:szCs w:val="24"/>
                <w:lang w:eastAsia="en-GB"/>
              </w:rPr>
            </w:pPr>
            <w:r w:rsidRPr="004A6EFA">
              <w:rPr>
                <w:rFonts w:ascii="Arial" w:hAnsi="Arial" w:cs="Arial"/>
                <w:b/>
                <w:szCs w:val="24"/>
                <w:lang w:eastAsia="en-GB"/>
              </w:rPr>
              <w:t>Reserves c/f</w:t>
            </w:r>
          </w:p>
        </w:tc>
        <w:tc>
          <w:tcPr>
            <w:tcW w:w="1559" w:type="dxa"/>
          </w:tcPr>
          <w:p w:rsidR="00C2799A" w:rsidRPr="004A6EFA" w:rsidRDefault="00C2799A" w:rsidP="00605186">
            <w:pPr>
              <w:autoSpaceDE w:val="0"/>
              <w:autoSpaceDN w:val="0"/>
              <w:adjustRightInd w:val="0"/>
              <w:spacing w:after="120"/>
              <w:jc w:val="right"/>
              <w:rPr>
                <w:rFonts w:ascii="Arial" w:hAnsi="Arial" w:cs="Arial"/>
                <w:b/>
                <w:szCs w:val="24"/>
                <w:lang w:eastAsia="en-GB"/>
              </w:rPr>
            </w:pPr>
          </w:p>
        </w:tc>
        <w:tc>
          <w:tcPr>
            <w:tcW w:w="1559" w:type="dxa"/>
            <w:tcBorders>
              <w:top w:val="single" w:sz="4" w:space="0" w:color="auto"/>
            </w:tcBorders>
          </w:tcPr>
          <w:p w:rsidR="00C2799A" w:rsidRPr="004A6EFA" w:rsidRDefault="00E765BB" w:rsidP="00556097">
            <w:pPr>
              <w:autoSpaceDE w:val="0"/>
              <w:autoSpaceDN w:val="0"/>
              <w:adjustRightInd w:val="0"/>
              <w:spacing w:after="120"/>
              <w:jc w:val="right"/>
              <w:rPr>
                <w:rFonts w:ascii="Arial" w:hAnsi="Arial" w:cs="Arial"/>
                <w:b/>
                <w:szCs w:val="24"/>
                <w:lang w:eastAsia="en-GB"/>
              </w:rPr>
            </w:pPr>
            <w:r>
              <w:rPr>
                <w:rFonts w:ascii="Arial" w:hAnsi="Arial" w:cs="Arial"/>
                <w:b/>
                <w:szCs w:val="24"/>
                <w:lang w:eastAsia="en-GB"/>
              </w:rPr>
              <w:t>7</w:t>
            </w:r>
            <w:r w:rsidR="00556097">
              <w:rPr>
                <w:rFonts w:ascii="Arial" w:hAnsi="Arial" w:cs="Arial"/>
                <w:b/>
                <w:szCs w:val="24"/>
                <w:lang w:eastAsia="en-GB"/>
              </w:rPr>
              <w:t>6</w:t>
            </w:r>
            <w:r w:rsidR="00DF2C77">
              <w:rPr>
                <w:rFonts w:ascii="Arial" w:hAnsi="Arial" w:cs="Arial"/>
                <w:b/>
                <w:szCs w:val="24"/>
                <w:lang w:eastAsia="en-GB"/>
              </w:rPr>
              <w:t>,</w:t>
            </w:r>
            <w:r w:rsidR="00556097">
              <w:rPr>
                <w:rFonts w:ascii="Arial" w:hAnsi="Arial" w:cs="Arial"/>
                <w:b/>
                <w:szCs w:val="24"/>
                <w:lang w:eastAsia="en-GB"/>
              </w:rPr>
              <w:t>933</w:t>
            </w:r>
          </w:p>
        </w:tc>
      </w:tr>
    </w:tbl>
    <w:p w:rsidR="00B33235" w:rsidRDefault="00B33235" w:rsidP="00153491">
      <w:pPr>
        <w:pStyle w:val="ListParagraph"/>
        <w:autoSpaceDE w:val="0"/>
        <w:autoSpaceDN w:val="0"/>
        <w:adjustRightInd w:val="0"/>
        <w:spacing w:after="120"/>
        <w:ind w:left="170"/>
        <w:jc w:val="both"/>
        <w:rPr>
          <w:sz w:val="24"/>
          <w:szCs w:val="24"/>
          <w:lang w:eastAsia="en-GB"/>
        </w:rPr>
      </w:pPr>
    </w:p>
    <w:p w:rsidR="00B33235" w:rsidRDefault="00B33235" w:rsidP="00216DA7">
      <w:pPr>
        <w:pStyle w:val="ListParagraph"/>
        <w:numPr>
          <w:ilvl w:val="0"/>
          <w:numId w:val="30"/>
        </w:numPr>
        <w:autoSpaceDE w:val="0"/>
        <w:autoSpaceDN w:val="0"/>
        <w:adjustRightInd w:val="0"/>
        <w:spacing w:after="120"/>
        <w:jc w:val="both"/>
        <w:rPr>
          <w:sz w:val="24"/>
          <w:szCs w:val="24"/>
          <w:lang w:eastAsia="en-GB"/>
        </w:rPr>
      </w:pPr>
      <w:r>
        <w:rPr>
          <w:sz w:val="24"/>
          <w:szCs w:val="24"/>
          <w:lang w:eastAsia="en-GB"/>
        </w:rPr>
        <w:t xml:space="preserve">However, the </w:t>
      </w:r>
      <w:r w:rsidR="00934D6C">
        <w:rPr>
          <w:sz w:val="24"/>
          <w:szCs w:val="24"/>
          <w:lang w:eastAsia="en-GB"/>
        </w:rPr>
        <w:t xml:space="preserve">property valuation gains </w:t>
      </w:r>
      <w:r>
        <w:rPr>
          <w:sz w:val="24"/>
          <w:szCs w:val="24"/>
          <w:lang w:eastAsia="en-GB"/>
        </w:rPr>
        <w:t xml:space="preserve">are </w:t>
      </w:r>
      <w:r w:rsidR="00927A09">
        <w:rPr>
          <w:sz w:val="24"/>
          <w:szCs w:val="24"/>
          <w:lang w:eastAsia="en-GB"/>
        </w:rPr>
        <w:t xml:space="preserve">notional </w:t>
      </w:r>
      <w:r>
        <w:rPr>
          <w:sz w:val="24"/>
          <w:szCs w:val="24"/>
          <w:lang w:eastAsia="en-GB"/>
        </w:rPr>
        <w:t xml:space="preserve">and a result of </w:t>
      </w:r>
      <w:r w:rsidR="00934D6C">
        <w:rPr>
          <w:sz w:val="24"/>
          <w:szCs w:val="24"/>
          <w:lang w:eastAsia="en-GB"/>
        </w:rPr>
        <w:t>valuation exercises.</w:t>
      </w:r>
      <w:r w:rsidR="003A3671">
        <w:rPr>
          <w:sz w:val="24"/>
          <w:szCs w:val="24"/>
          <w:lang w:eastAsia="en-GB"/>
        </w:rPr>
        <w:t xml:space="preserve"> Furthermore as proposed in the </w:t>
      </w:r>
      <w:r w:rsidR="00E6703C">
        <w:rPr>
          <w:sz w:val="24"/>
          <w:szCs w:val="24"/>
          <w:lang w:eastAsia="en-GB"/>
        </w:rPr>
        <w:t xml:space="preserve">draft </w:t>
      </w:r>
      <w:r w:rsidR="003A3671">
        <w:rPr>
          <w:sz w:val="24"/>
          <w:szCs w:val="24"/>
          <w:lang w:eastAsia="en-GB"/>
        </w:rPr>
        <w:t xml:space="preserve">Finance Strategy </w:t>
      </w:r>
      <w:r w:rsidR="008C0229">
        <w:rPr>
          <w:sz w:val="24"/>
          <w:szCs w:val="24"/>
          <w:lang w:eastAsia="en-GB"/>
        </w:rPr>
        <w:t xml:space="preserve">(reported elsewhere in today’s agenda) </w:t>
      </w:r>
      <w:r w:rsidR="003A3671">
        <w:rPr>
          <w:sz w:val="24"/>
          <w:szCs w:val="24"/>
          <w:lang w:eastAsia="en-GB"/>
        </w:rPr>
        <w:t xml:space="preserve">two thirds of the additional income from the PPP contract will be passed through to boroughs and one third will be retained by the Authority for strategic projects. </w:t>
      </w:r>
      <w:r w:rsidR="00934D6C">
        <w:rPr>
          <w:sz w:val="24"/>
          <w:szCs w:val="24"/>
          <w:lang w:eastAsia="en-GB"/>
        </w:rPr>
        <w:t xml:space="preserve">Therefore </w:t>
      </w:r>
      <w:r w:rsidR="00762E53">
        <w:rPr>
          <w:sz w:val="24"/>
          <w:szCs w:val="24"/>
          <w:lang w:eastAsia="en-GB"/>
        </w:rPr>
        <w:t xml:space="preserve">these are excluded to provide </w:t>
      </w:r>
      <w:r w:rsidR="009B7AEE">
        <w:rPr>
          <w:sz w:val="24"/>
          <w:szCs w:val="24"/>
          <w:lang w:eastAsia="en-GB"/>
        </w:rPr>
        <w:t xml:space="preserve">a more </w:t>
      </w:r>
      <w:r w:rsidR="00762E53">
        <w:rPr>
          <w:sz w:val="24"/>
          <w:szCs w:val="24"/>
          <w:lang w:eastAsia="en-GB"/>
        </w:rPr>
        <w:t xml:space="preserve">accurate </w:t>
      </w:r>
      <w:r w:rsidR="009B7AEE">
        <w:rPr>
          <w:sz w:val="24"/>
          <w:szCs w:val="24"/>
          <w:lang w:eastAsia="en-GB"/>
        </w:rPr>
        <w:t xml:space="preserve">picture of </w:t>
      </w:r>
      <w:r w:rsidR="00934D6C">
        <w:rPr>
          <w:sz w:val="24"/>
          <w:szCs w:val="24"/>
          <w:lang w:eastAsia="en-GB"/>
        </w:rPr>
        <w:t xml:space="preserve">the reserves available to the Authority </w:t>
      </w:r>
      <w:r w:rsidR="009B7AEE">
        <w:rPr>
          <w:sz w:val="24"/>
          <w:szCs w:val="24"/>
          <w:lang w:eastAsia="en-GB"/>
        </w:rPr>
        <w:t>for managing</w:t>
      </w:r>
      <w:r w:rsidR="00934D6C">
        <w:rPr>
          <w:sz w:val="24"/>
          <w:szCs w:val="24"/>
          <w:lang w:eastAsia="en-GB"/>
        </w:rPr>
        <w:t xml:space="preserve"> risks. </w:t>
      </w:r>
    </w:p>
    <w:tbl>
      <w:tblPr>
        <w:tblW w:w="0" w:type="auto"/>
        <w:tblInd w:w="959" w:type="dxa"/>
        <w:tblLook w:val="04A0" w:firstRow="1" w:lastRow="0" w:firstColumn="1" w:lastColumn="0" w:noHBand="0" w:noVBand="1"/>
      </w:tblPr>
      <w:tblGrid>
        <w:gridCol w:w="4678"/>
        <w:gridCol w:w="1559"/>
        <w:gridCol w:w="1559"/>
      </w:tblGrid>
      <w:tr w:rsidR="00934D6C" w:rsidRPr="004A6EFA" w:rsidTr="009B7AEE">
        <w:tc>
          <w:tcPr>
            <w:tcW w:w="4678" w:type="dxa"/>
          </w:tcPr>
          <w:p w:rsidR="00934D6C" w:rsidRPr="004A6EFA" w:rsidRDefault="00934D6C" w:rsidP="00934D6C">
            <w:pPr>
              <w:autoSpaceDE w:val="0"/>
              <w:autoSpaceDN w:val="0"/>
              <w:adjustRightInd w:val="0"/>
              <w:spacing w:after="120"/>
              <w:rPr>
                <w:rFonts w:ascii="Arial" w:hAnsi="Arial" w:cs="Arial"/>
                <w:szCs w:val="24"/>
                <w:lang w:eastAsia="en-GB"/>
              </w:rPr>
            </w:pPr>
            <w:r w:rsidRPr="004A6EFA">
              <w:rPr>
                <w:rFonts w:ascii="Arial" w:hAnsi="Arial" w:cs="Arial"/>
                <w:szCs w:val="24"/>
                <w:lang w:eastAsia="en-GB"/>
              </w:rPr>
              <w:t xml:space="preserve">Reserves </w:t>
            </w:r>
          </w:p>
        </w:tc>
        <w:tc>
          <w:tcPr>
            <w:tcW w:w="1559" w:type="dxa"/>
          </w:tcPr>
          <w:p w:rsidR="00934D6C" w:rsidRPr="004A6EFA" w:rsidRDefault="00934D6C" w:rsidP="009B7AEE">
            <w:pPr>
              <w:autoSpaceDE w:val="0"/>
              <w:autoSpaceDN w:val="0"/>
              <w:adjustRightInd w:val="0"/>
              <w:spacing w:after="120"/>
              <w:jc w:val="right"/>
              <w:rPr>
                <w:rFonts w:ascii="Arial" w:hAnsi="Arial" w:cs="Arial"/>
                <w:szCs w:val="24"/>
                <w:lang w:eastAsia="en-GB"/>
              </w:rPr>
            </w:pPr>
          </w:p>
        </w:tc>
        <w:tc>
          <w:tcPr>
            <w:tcW w:w="1559" w:type="dxa"/>
          </w:tcPr>
          <w:p w:rsidR="00934D6C" w:rsidRPr="004A6EFA" w:rsidRDefault="00E765BB" w:rsidP="00556097">
            <w:pPr>
              <w:autoSpaceDE w:val="0"/>
              <w:autoSpaceDN w:val="0"/>
              <w:adjustRightInd w:val="0"/>
              <w:spacing w:after="120"/>
              <w:jc w:val="right"/>
              <w:rPr>
                <w:rFonts w:ascii="Arial" w:hAnsi="Arial" w:cs="Arial"/>
                <w:szCs w:val="24"/>
                <w:lang w:eastAsia="en-GB"/>
              </w:rPr>
            </w:pPr>
            <w:r>
              <w:rPr>
                <w:rFonts w:ascii="Arial" w:hAnsi="Arial" w:cs="Arial"/>
                <w:szCs w:val="24"/>
                <w:lang w:eastAsia="en-GB"/>
              </w:rPr>
              <w:t>7</w:t>
            </w:r>
            <w:r w:rsidR="00556097">
              <w:rPr>
                <w:rFonts w:ascii="Arial" w:hAnsi="Arial" w:cs="Arial"/>
                <w:szCs w:val="24"/>
                <w:lang w:eastAsia="en-GB"/>
              </w:rPr>
              <w:t>6</w:t>
            </w:r>
            <w:r w:rsidR="00DF2C77">
              <w:rPr>
                <w:rFonts w:ascii="Arial" w:hAnsi="Arial" w:cs="Arial"/>
                <w:szCs w:val="24"/>
                <w:lang w:eastAsia="en-GB"/>
              </w:rPr>
              <w:t>,</w:t>
            </w:r>
            <w:r w:rsidR="00556097">
              <w:rPr>
                <w:rFonts w:ascii="Arial" w:hAnsi="Arial" w:cs="Arial"/>
                <w:szCs w:val="24"/>
                <w:lang w:eastAsia="en-GB"/>
              </w:rPr>
              <w:t>933</w:t>
            </w:r>
          </w:p>
        </w:tc>
      </w:tr>
      <w:tr w:rsidR="00934D6C" w:rsidRPr="004A6EFA" w:rsidTr="009B7AEE">
        <w:tc>
          <w:tcPr>
            <w:tcW w:w="4678" w:type="dxa"/>
          </w:tcPr>
          <w:p w:rsidR="00934D6C" w:rsidRPr="004A6EFA" w:rsidRDefault="00934D6C" w:rsidP="00934D6C">
            <w:pPr>
              <w:autoSpaceDE w:val="0"/>
              <w:autoSpaceDN w:val="0"/>
              <w:adjustRightInd w:val="0"/>
              <w:spacing w:after="120"/>
              <w:rPr>
                <w:rFonts w:ascii="Arial" w:hAnsi="Arial" w:cs="Arial"/>
                <w:szCs w:val="24"/>
                <w:lang w:eastAsia="en-GB"/>
              </w:rPr>
            </w:pPr>
            <w:r>
              <w:rPr>
                <w:rFonts w:ascii="Arial" w:hAnsi="Arial" w:cs="Arial"/>
                <w:szCs w:val="24"/>
                <w:lang w:eastAsia="en-GB"/>
              </w:rPr>
              <w:t xml:space="preserve">Exclude property revaluation gains </w:t>
            </w:r>
          </w:p>
        </w:tc>
        <w:tc>
          <w:tcPr>
            <w:tcW w:w="1559" w:type="dxa"/>
          </w:tcPr>
          <w:p w:rsidR="00934D6C" w:rsidRPr="004A6EFA" w:rsidRDefault="00934D6C" w:rsidP="009B7AEE">
            <w:pPr>
              <w:autoSpaceDE w:val="0"/>
              <w:autoSpaceDN w:val="0"/>
              <w:adjustRightInd w:val="0"/>
              <w:spacing w:after="120"/>
              <w:rPr>
                <w:rFonts w:ascii="Arial" w:hAnsi="Arial" w:cs="Arial"/>
                <w:szCs w:val="24"/>
                <w:lang w:eastAsia="en-GB"/>
              </w:rPr>
            </w:pPr>
          </w:p>
        </w:tc>
        <w:tc>
          <w:tcPr>
            <w:tcW w:w="1559" w:type="dxa"/>
          </w:tcPr>
          <w:p w:rsidR="00934D6C" w:rsidRPr="004A6EFA" w:rsidRDefault="00934D6C" w:rsidP="00E765BB">
            <w:pPr>
              <w:autoSpaceDE w:val="0"/>
              <w:autoSpaceDN w:val="0"/>
              <w:adjustRightInd w:val="0"/>
              <w:spacing w:after="120"/>
              <w:jc w:val="right"/>
              <w:rPr>
                <w:rFonts w:ascii="Arial" w:hAnsi="Arial" w:cs="Arial"/>
                <w:szCs w:val="24"/>
                <w:lang w:eastAsia="en-GB"/>
              </w:rPr>
            </w:pPr>
            <w:r>
              <w:rPr>
                <w:rFonts w:ascii="Arial" w:hAnsi="Arial" w:cs="Arial"/>
                <w:szCs w:val="24"/>
                <w:lang w:eastAsia="en-GB"/>
              </w:rPr>
              <w:t>(</w:t>
            </w:r>
            <w:r w:rsidR="00E765BB">
              <w:rPr>
                <w:rFonts w:ascii="Arial" w:hAnsi="Arial" w:cs="Arial"/>
                <w:szCs w:val="24"/>
                <w:lang w:eastAsia="en-GB"/>
              </w:rPr>
              <w:t>54,722</w:t>
            </w:r>
            <w:r>
              <w:rPr>
                <w:rFonts w:ascii="Arial" w:hAnsi="Arial" w:cs="Arial"/>
                <w:szCs w:val="24"/>
                <w:lang w:eastAsia="en-GB"/>
              </w:rPr>
              <w:t>)</w:t>
            </w:r>
          </w:p>
        </w:tc>
      </w:tr>
      <w:tr w:rsidR="003A3671" w:rsidRPr="004A6EFA" w:rsidTr="009B7AEE">
        <w:tc>
          <w:tcPr>
            <w:tcW w:w="4678" w:type="dxa"/>
          </w:tcPr>
          <w:p w:rsidR="003A3671" w:rsidRDefault="003A3671" w:rsidP="003A3671">
            <w:pPr>
              <w:autoSpaceDE w:val="0"/>
              <w:autoSpaceDN w:val="0"/>
              <w:adjustRightInd w:val="0"/>
              <w:spacing w:after="120"/>
              <w:rPr>
                <w:rFonts w:ascii="Arial" w:hAnsi="Arial" w:cs="Arial"/>
                <w:szCs w:val="24"/>
                <w:lang w:eastAsia="en-GB"/>
              </w:rPr>
            </w:pPr>
            <w:r>
              <w:rPr>
                <w:rFonts w:ascii="Arial" w:hAnsi="Arial" w:cs="Arial"/>
                <w:szCs w:val="24"/>
                <w:lang w:eastAsia="en-GB"/>
              </w:rPr>
              <w:t>Proposed pass through of new income</w:t>
            </w:r>
          </w:p>
        </w:tc>
        <w:tc>
          <w:tcPr>
            <w:tcW w:w="1559" w:type="dxa"/>
          </w:tcPr>
          <w:p w:rsidR="003A3671" w:rsidRPr="004A6EFA" w:rsidRDefault="003A3671" w:rsidP="009B7AEE">
            <w:pPr>
              <w:autoSpaceDE w:val="0"/>
              <w:autoSpaceDN w:val="0"/>
              <w:adjustRightInd w:val="0"/>
              <w:spacing w:after="120"/>
              <w:rPr>
                <w:rFonts w:ascii="Arial" w:hAnsi="Arial" w:cs="Arial"/>
                <w:szCs w:val="24"/>
                <w:lang w:eastAsia="en-GB"/>
              </w:rPr>
            </w:pPr>
          </w:p>
        </w:tc>
        <w:tc>
          <w:tcPr>
            <w:tcW w:w="1559" w:type="dxa"/>
          </w:tcPr>
          <w:p w:rsidR="003A3671" w:rsidRDefault="003A3671" w:rsidP="003A3671">
            <w:pPr>
              <w:autoSpaceDE w:val="0"/>
              <w:autoSpaceDN w:val="0"/>
              <w:adjustRightInd w:val="0"/>
              <w:spacing w:after="120"/>
              <w:jc w:val="right"/>
              <w:rPr>
                <w:rFonts w:ascii="Arial" w:hAnsi="Arial" w:cs="Arial"/>
                <w:szCs w:val="24"/>
                <w:lang w:eastAsia="en-GB"/>
              </w:rPr>
            </w:pPr>
            <w:r>
              <w:rPr>
                <w:rFonts w:ascii="Arial" w:hAnsi="Arial" w:cs="Arial"/>
                <w:szCs w:val="24"/>
                <w:lang w:eastAsia="en-GB"/>
              </w:rPr>
              <w:t>(6,500)</w:t>
            </w:r>
          </w:p>
        </w:tc>
      </w:tr>
      <w:tr w:rsidR="003A3671" w:rsidRPr="004A6EFA" w:rsidTr="009B7AEE">
        <w:tc>
          <w:tcPr>
            <w:tcW w:w="4678" w:type="dxa"/>
          </w:tcPr>
          <w:p w:rsidR="003A3671" w:rsidRDefault="003A3671" w:rsidP="003A3671">
            <w:pPr>
              <w:autoSpaceDE w:val="0"/>
              <w:autoSpaceDN w:val="0"/>
              <w:adjustRightInd w:val="0"/>
              <w:spacing w:after="120"/>
              <w:rPr>
                <w:rFonts w:ascii="Arial" w:hAnsi="Arial" w:cs="Arial"/>
                <w:szCs w:val="24"/>
                <w:lang w:eastAsia="en-GB"/>
              </w:rPr>
            </w:pPr>
            <w:r>
              <w:rPr>
                <w:rFonts w:ascii="Arial" w:hAnsi="Arial" w:cs="Arial"/>
                <w:szCs w:val="24"/>
                <w:lang w:eastAsia="en-GB"/>
              </w:rPr>
              <w:t>Set aside for strategic projects</w:t>
            </w:r>
          </w:p>
        </w:tc>
        <w:tc>
          <w:tcPr>
            <w:tcW w:w="1559" w:type="dxa"/>
          </w:tcPr>
          <w:p w:rsidR="003A3671" w:rsidRPr="004A6EFA" w:rsidRDefault="003A3671" w:rsidP="009B7AEE">
            <w:pPr>
              <w:autoSpaceDE w:val="0"/>
              <w:autoSpaceDN w:val="0"/>
              <w:adjustRightInd w:val="0"/>
              <w:spacing w:after="120"/>
              <w:rPr>
                <w:rFonts w:ascii="Arial" w:hAnsi="Arial" w:cs="Arial"/>
                <w:szCs w:val="24"/>
                <w:lang w:eastAsia="en-GB"/>
              </w:rPr>
            </w:pPr>
          </w:p>
        </w:tc>
        <w:tc>
          <w:tcPr>
            <w:tcW w:w="1559" w:type="dxa"/>
          </w:tcPr>
          <w:p w:rsidR="003A3671" w:rsidRDefault="003A3671" w:rsidP="003A3671">
            <w:pPr>
              <w:autoSpaceDE w:val="0"/>
              <w:autoSpaceDN w:val="0"/>
              <w:adjustRightInd w:val="0"/>
              <w:spacing w:after="120"/>
              <w:jc w:val="right"/>
              <w:rPr>
                <w:rFonts w:ascii="Arial" w:hAnsi="Arial" w:cs="Arial"/>
                <w:szCs w:val="24"/>
                <w:lang w:eastAsia="en-GB"/>
              </w:rPr>
            </w:pPr>
            <w:r>
              <w:rPr>
                <w:rFonts w:ascii="Arial" w:hAnsi="Arial" w:cs="Arial"/>
                <w:szCs w:val="24"/>
                <w:lang w:eastAsia="en-GB"/>
              </w:rPr>
              <w:t>(3,250)</w:t>
            </w:r>
          </w:p>
        </w:tc>
      </w:tr>
      <w:tr w:rsidR="00934D6C" w:rsidRPr="004A6EFA" w:rsidTr="009B7AEE">
        <w:tc>
          <w:tcPr>
            <w:tcW w:w="4678" w:type="dxa"/>
          </w:tcPr>
          <w:p w:rsidR="00934D6C" w:rsidRPr="004A6EFA" w:rsidRDefault="00934D6C" w:rsidP="00934D6C">
            <w:pPr>
              <w:autoSpaceDE w:val="0"/>
              <w:autoSpaceDN w:val="0"/>
              <w:adjustRightInd w:val="0"/>
              <w:spacing w:after="120"/>
              <w:rPr>
                <w:rFonts w:ascii="Arial" w:hAnsi="Arial" w:cs="Arial"/>
                <w:szCs w:val="24"/>
                <w:lang w:eastAsia="en-GB"/>
              </w:rPr>
            </w:pPr>
            <w:r>
              <w:rPr>
                <w:rFonts w:ascii="Arial" w:hAnsi="Arial" w:cs="Arial"/>
                <w:b/>
                <w:szCs w:val="24"/>
                <w:lang w:eastAsia="en-GB"/>
              </w:rPr>
              <w:t>Reserves available to manage risks</w:t>
            </w:r>
          </w:p>
        </w:tc>
        <w:tc>
          <w:tcPr>
            <w:tcW w:w="1559" w:type="dxa"/>
          </w:tcPr>
          <w:p w:rsidR="00934D6C" w:rsidRPr="004A6EFA" w:rsidRDefault="00934D6C" w:rsidP="009B7AEE">
            <w:pPr>
              <w:autoSpaceDE w:val="0"/>
              <w:autoSpaceDN w:val="0"/>
              <w:adjustRightInd w:val="0"/>
              <w:spacing w:after="120"/>
              <w:jc w:val="right"/>
              <w:rPr>
                <w:rFonts w:ascii="Arial" w:hAnsi="Arial" w:cs="Arial"/>
                <w:szCs w:val="24"/>
                <w:lang w:eastAsia="en-GB"/>
              </w:rPr>
            </w:pPr>
          </w:p>
        </w:tc>
        <w:tc>
          <w:tcPr>
            <w:tcW w:w="1559" w:type="dxa"/>
            <w:tcBorders>
              <w:top w:val="single" w:sz="4" w:space="0" w:color="auto"/>
            </w:tcBorders>
          </w:tcPr>
          <w:p w:rsidR="00934D6C" w:rsidRPr="004A6EFA" w:rsidRDefault="003A3671" w:rsidP="00556097">
            <w:pPr>
              <w:autoSpaceDE w:val="0"/>
              <w:autoSpaceDN w:val="0"/>
              <w:adjustRightInd w:val="0"/>
              <w:spacing w:after="120"/>
              <w:jc w:val="right"/>
              <w:rPr>
                <w:rFonts w:ascii="Arial" w:hAnsi="Arial" w:cs="Arial"/>
                <w:szCs w:val="24"/>
                <w:lang w:eastAsia="en-GB"/>
              </w:rPr>
            </w:pPr>
            <w:r>
              <w:rPr>
                <w:rFonts w:ascii="Arial" w:hAnsi="Arial" w:cs="Arial"/>
                <w:b/>
                <w:szCs w:val="24"/>
                <w:lang w:eastAsia="en-GB"/>
              </w:rPr>
              <w:t>1</w:t>
            </w:r>
            <w:r w:rsidR="00556097">
              <w:rPr>
                <w:rFonts w:ascii="Arial" w:hAnsi="Arial" w:cs="Arial"/>
                <w:b/>
                <w:szCs w:val="24"/>
                <w:lang w:eastAsia="en-GB"/>
              </w:rPr>
              <w:t>2</w:t>
            </w:r>
            <w:r w:rsidR="00E765BB">
              <w:rPr>
                <w:rFonts w:ascii="Arial" w:hAnsi="Arial" w:cs="Arial"/>
                <w:b/>
                <w:szCs w:val="24"/>
                <w:lang w:eastAsia="en-GB"/>
              </w:rPr>
              <w:t>,</w:t>
            </w:r>
            <w:r w:rsidR="00556097">
              <w:rPr>
                <w:rFonts w:ascii="Arial" w:hAnsi="Arial" w:cs="Arial"/>
                <w:b/>
                <w:szCs w:val="24"/>
                <w:lang w:eastAsia="en-GB"/>
              </w:rPr>
              <w:t>461</w:t>
            </w:r>
          </w:p>
        </w:tc>
      </w:tr>
      <w:tr w:rsidR="00934D6C" w:rsidRPr="004A6EFA" w:rsidTr="009B7AEE">
        <w:tc>
          <w:tcPr>
            <w:tcW w:w="4678" w:type="dxa"/>
          </w:tcPr>
          <w:p w:rsidR="00934D6C" w:rsidRPr="004A6EFA" w:rsidRDefault="00934D6C" w:rsidP="009B7AEE">
            <w:pPr>
              <w:autoSpaceDE w:val="0"/>
              <w:autoSpaceDN w:val="0"/>
              <w:adjustRightInd w:val="0"/>
              <w:spacing w:after="120"/>
              <w:rPr>
                <w:rFonts w:ascii="Arial" w:hAnsi="Arial" w:cs="Arial"/>
                <w:b/>
                <w:szCs w:val="24"/>
                <w:lang w:eastAsia="en-GB"/>
              </w:rPr>
            </w:pPr>
          </w:p>
        </w:tc>
        <w:tc>
          <w:tcPr>
            <w:tcW w:w="1559" w:type="dxa"/>
          </w:tcPr>
          <w:p w:rsidR="00934D6C" w:rsidRPr="004A6EFA" w:rsidRDefault="00934D6C" w:rsidP="009B7AEE">
            <w:pPr>
              <w:autoSpaceDE w:val="0"/>
              <w:autoSpaceDN w:val="0"/>
              <w:adjustRightInd w:val="0"/>
              <w:spacing w:after="120"/>
              <w:jc w:val="right"/>
              <w:rPr>
                <w:rFonts w:ascii="Arial" w:hAnsi="Arial" w:cs="Arial"/>
                <w:b/>
                <w:szCs w:val="24"/>
                <w:lang w:eastAsia="en-GB"/>
              </w:rPr>
            </w:pPr>
          </w:p>
        </w:tc>
        <w:tc>
          <w:tcPr>
            <w:tcW w:w="1559" w:type="dxa"/>
            <w:tcBorders>
              <w:top w:val="single" w:sz="4" w:space="0" w:color="auto"/>
            </w:tcBorders>
          </w:tcPr>
          <w:p w:rsidR="00934D6C" w:rsidRPr="004A6EFA" w:rsidRDefault="00934D6C" w:rsidP="009B7AEE">
            <w:pPr>
              <w:autoSpaceDE w:val="0"/>
              <w:autoSpaceDN w:val="0"/>
              <w:adjustRightInd w:val="0"/>
              <w:spacing w:after="120"/>
              <w:jc w:val="right"/>
              <w:rPr>
                <w:rFonts w:ascii="Arial" w:hAnsi="Arial" w:cs="Arial"/>
                <w:b/>
                <w:szCs w:val="24"/>
                <w:lang w:eastAsia="en-GB"/>
              </w:rPr>
            </w:pPr>
          </w:p>
        </w:tc>
      </w:tr>
    </w:tbl>
    <w:p w:rsidR="00153491" w:rsidRPr="00552CEB" w:rsidRDefault="00153491" w:rsidP="00216DA7">
      <w:pPr>
        <w:pStyle w:val="ListParagraph"/>
        <w:numPr>
          <w:ilvl w:val="0"/>
          <w:numId w:val="30"/>
        </w:numPr>
        <w:autoSpaceDE w:val="0"/>
        <w:autoSpaceDN w:val="0"/>
        <w:adjustRightInd w:val="0"/>
        <w:spacing w:after="120"/>
        <w:jc w:val="both"/>
        <w:rPr>
          <w:sz w:val="24"/>
          <w:szCs w:val="24"/>
          <w:lang w:eastAsia="en-GB"/>
        </w:rPr>
      </w:pPr>
      <w:r w:rsidRPr="00552CEB">
        <w:rPr>
          <w:sz w:val="24"/>
          <w:szCs w:val="24"/>
          <w:lang w:eastAsia="en-GB"/>
        </w:rPr>
        <w:lastRenderedPageBreak/>
        <w:t xml:space="preserve">Once again, by considering reserves </w:t>
      </w:r>
      <w:r w:rsidR="009B7AEE">
        <w:rPr>
          <w:sz w:val="24"/>
          <w:szCs w:val="24"/>
          <w:lang w:eastAsia="en-GB"/>
        </w:rPr>
        <w:t xml:space="preserve">available to manage risk </w:t>
      </w:r>
      <w:r w:rsidRPr="00552CEB">
        <w:rPr>
          <w:sz w:val="24"/>
          <w:szCs w:val="24"/>
          <w:lang w:eastAsia="en-GB"/>
        </w:rPr>
        <w:t xml:space="preserve">over a longer timeframe, provides a more strategic perspective. </w:t>
      </w:r>
      <w:r w:rsidR="009B7AEE">
        <w:rPr>
          <w:sz w:val="24"/>
          <w:szCs w:val="24"/>
          <w:lang w:eastAsia="en-GB"/>
        </w:rPr>
        <w:t>T</w:t>
      </w:r>
      <w:r w:rsidRPr="00552CEB">
        <w:rPr>
          <w:sz w:val="24"/>
          <w:szCs w:val="24"/>
          <w:lang w:eastAsia="en-GB"/>
        </w:rPr>
        <w:t>he following chart plots the</w:t>
      </w:r>
      <w:r w:rsidR="009B7AEE">
        <w:rPr>
          <w:sz w:val="24"/>
          <w:szCs w:val="24"/>
          <w:lang w:eastAsia="en-GB"/>
        </w:rPr>
        <w:t>se</w:t>
      </w:r>
      <w:r w:rsidRPr="00552CEB">
        <w:rPr>
          <w:sz w:val="24"/>
          <w:szCs w:val="24"/>
          <w:lang w:eastAsia="en-GB"/>
        </w:rPr>
        <w:t xml:space="preserve"> over the same period</w:t>
      </w:r>
      <w:r w:rsidR="00D11D6A">
        <w:rPr>
          <w:sz w:val="24"/>
          <w:szCs w:val="24"/>
          <w:lang w:eastAsia="en-GB"/>
        </w:rPr>
        <w:t xml:space="preserve"> appl</w:t>
      </w:r>
      <w:r w:rsidR="00684046">
        <w:rPr>
          <w:sz w:val="24"/>
          <w:szCs w:val="24"/>
          <w:lang w:eastAsia="en-GB"/>
        </w:rPr>
        <w:t xml:space="preserve">ying </w:t>
      </w:r>
      <w:r w:rsidR="00D11D6A">
        <w:rPr>
          <w:sz w:val="24"/>
          <w:szCs w:val="24"/>
          <w:lang w:eastAsia="en-GB"/>
        </w:rPr>
        <w:t>the new income sharing arrangements within the draft Finance Strategy</w:t>
      </w:r>
      <w:r w:rsidR="00684046">
        <w:rPr>
          <w:sz w:val="24"/>
          <w:szCs w:val="24"/>
          <w:lang w:eastAsia="en-GB"/>
        </w:rPr>
        <w:t xml:space="preserve"> to the latest year</w:t>
      </w:r>
      <w:r w:rsidRPr="00552CEB">
        <w:rPr>
          <w:sz w:val="24"/>
          <w:szCs w:val="24"/>
          <w:lang w:eastAsia="en-GB"/>
        </w:rPr>
        <w:t>.</w:t>
      </w:r>
      <w:r w:rsidR="00D11D6A">
        <w:rPr>
          <w:sz w:val="24"/>
          <w:szCs w:val="24"/>
          <w:lang w:eastAsia="en-GB"/>
        </w:rPr>
        <w:t xml:space="preserve"> </w:t>
      </w:r>
    </w:p>
    <w:p w:rsidR="00153491" w:rsidRDefault="00556097" w:rsidP="00216DA7">
      <w:pPr>
        <w:autoSpaceDE w:val="0"/>
        <w:autoSpaceDN w:val="0"/>
        <w:adjustRightInd w:val="0"/>
        <w:spacing w:after="120"/>
        <w:ind w:left="170"/>
        <w:jc w:val="center"/>
        <w:rPr>
          <w:rFonts w:ascii="Arial" w:hAnsi="Arial" w:cs="Arial"/>
          <w:szCs w:val="24"/>
          <w:lang w:eastAsia="en-GB"/>
        </w:rPr>
      </w:pPr>
      <w:r>
        <w:rPr>
          <w:noProof/>
          <w:lang w:eastAsia="en-GB"/>
        </w:rPr>
        <w:drawing>
          <wp:inline distT="0" distB="0" distL="0" distR="0" wp14:anchorId="54990B08" wp14:editId="2490A1D6">
            <wp:extent cx="5143500" cy="27432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53491" w:rsidRDefault="00D11D6A" w:rsidP="00D11D6A">
      <w:pPr>
        <w:autoSpaceDE w:val="0"/>
        <w:autoSpaceDN w:val="0"/>
        <w:adjustRightInd w:val="0"/>
        <w:spacing w:after="120"/>
        <w:ind w:left="360"/>
        <w:jc w:val="both"/>
        <w:rPr>
          <w:rFonts w:ascii="Arial" w:hAnsi="Arial" w:cs="Arial"/>
          <w:szCs w:val="24"/>
          <w:lang w:eastAsia="en-GB"/>
        </w:rPr>
      </w:pPr>
      <w:r>
        <w:rPr>
          <w:rFonts w:ascii="Arial" w:hAnsi="Arial" w:cs="Arial"/>
          <w:szCs w:val="24"/>
          <w:lang w:eastAsia="en-GB"/>
        </w:rPr>
        <w:t xml:space="preserve">Note that the draft Financial Statements pre-date the development of the Finance Strategy and so the reserves table therein will be updated </w:t>
      </w:r>
      <w:r w:rsidR="00684046">
        <w:rPr>
          <w:rFonts w:ascii="Arial" w:hAnsi="Arial" w:cs="Arial"/>
          <w:szCs w:val="24"/>
          <w:lang w:eastAsia="en-GB"/>
        </w:rPr>
        <w:t xml:space="preserve">in </w:t>
      </w:r>
      <w:r>
        <w:rPr>
          <w:rFonts w:ascii="Arial" w:hAnsi="Arial" w:cs="Arial"/>
          <w:szCs w:val="24"/>
          <w:lang w:eastAsia="en-GB"/>
        </w:rPr>
        <w:t>the final version of the accounts.</w:t>
      </w:r>
    </w:p>
    <w:p w:rsidR="00D11D6A" w:rsidRDefault="00D11D6A" w:rsidP="00D11D6A">
      <w:pPr>
        <w:autoSpaceDE w:val="0"/>
        <w:autoSpaceDN w:val="0"/>
        <w:adjustRightInd w:val="0"/>
        <w:spacing w:after="120"/>
        <w:ind w:left="360"/>
        <w:jc w:val="both"/>
        <w:rPr>
          <w:rFonts w:ascii="Arial" w:hAnsi="Arial" w:cs="Arial"/>
          <w:szCs w:val="24"/>
          <w:lang w:eastAsia="en-GB"/>
        </w:rPr>
      </w:pPr>
    </w:p>
    <w:p w:rsidR="009B7AEE" w:rsidRDefault="003F0505" w:rsidP="003F0505">
      <w:pPr>
        <w:pStyle w:val="ListParagraph"/>
        <w:numPr>
          <w:ilvl w:val="0"/>
          <w:numId w:val="30"/>
        </w:numPr>
        <w:autoSpaceDE w:val="0"/>
        <w:autoSpaceDN w:val="0"/>
        <w:adjustRightInd w:val="0"/>
        <w:spacing w:after="120"/>
        <w:jc w:val="both"/>
        <w:rPr>
          <w:sz w:val="24"/>
          <w:szCs w:val="24"/>
          <w:lang w:eastAsia="en-GB"/>
        </w:rPr>
      </w:pPr>
      <w:r w:rsidRPr="00136986">
        <w:rPr>
          <w:sz w:val="24"/>
          <w:szCs w:val="24"/>
        </w:rPr>
        <w:t xml:space="preserve">The chart above </w:t>
      </w:r>
      <w:r w:rsidR="00D11D6A">
        <w:rPr>
          <w:sz w:val="24"/>
          <w:szCs w:val="24"/>
        </w:rPr>
        <w:t xml:space="preserve">shows that </w:t>
      </w:r>
      <w:r w:rsidRPr="00136986">
        <w:rPr>
          <w:sz w:val="24"/>
          <w:szCs w:val="24"/>
        </w:rPr>
        <w:t xml:space="preserve">the Authority has improved its position by building </w:t>
      </w:r>
      <w:r w:rsidR="00E6703C">
        <w:rPr>
          <w:sz w:val="24"/>
          <w:szCs w:val="24"/>
        </w:rPr>
        <w:t xml:space="preserve">its </w:t>
      </w:r>
      <w:r w:rsidRPr="00136986">
        <w:rPr>
          <w:sz w:val="24"/>
          <w:szCs w:val="24"/>
        </w:rPr>
        <w:t>reserves as the basis of a financial buffer to better manage unexpected risks</w:t>
      </w:r>
      <w:r w:rsidR="00136986" w:rsidRPr="00136986">
        <w:rPr>
          <w:sz w:val="24"/>
          <w:szCs w:val="24"/>
        </w:rPr>
        <w:t>.</w:t>
      </w:r>
      <w:r w:rsidR="00E6703C">
        <w:rPr>
          <w:sz w:val="24"/>
          <w:szCs w:val="24"/>
        </w:rPr>
        <w:t xml:space="preserve"> This cautious approach reflects the changing legislative requirements and operating environment. </w:t>
      </w:r>
    </w:p>
    <w:p w:rsidR="004A5F7F" w:rsidRDefault="004A5F7F" w:rsidP="004A5F7F">
      <w:pPr>
        <w:pStyle w:val="ListParagraph"/>
        <w:autoSpaceDE w:val="0"/>
        <w:autoSpaceDN w:val="0"/>
        <w:adjustRightInd w:val="0"/>
        <w:spacing w:after="120"/>
        <w:ind w:left="360"/>
        <w:jc w:val="both"/>
        <w:rPr>
          <w:sz w:val="24"/>
          <w:szCs w:val="24"/>
          <w:lang w:eastAsia="en-GB"/>
        </w:rPr>
      </w:pPr>
    </w:p>
    <w:p w:rsidR="009B7AEE" w:rsidRDefault="009B7AEE" w:rsidP="009B7AEE">
      <w:pPr>
        <w:autoSpaceDE w:val="0"/>
        <w:autoSpaceDN w:val="0"/>
        <w:adjustRightInd w:val="0"/>
        <w:spacing w:after="120"/>
        <w:jc w:val="both"/>
        <w:rPr>
          <w:szCs w:val="24"/>
          <w:lang w:eastAsia="en-GB"/>
        </w:rPr>
      </w:pPr>
      <w:r>
        <w:rPr>
          <w:rFonts w:ascii="Arial" w:hAnsi="Arial" w:cs="Arial"/>
          <w:b/>
          <w:szCs w:val="24"/>
          <w:lang w:eastAsia="en-GB"/>
        </w:rPr>
        <w:t>Excess reserves</w:t>
      </w:r>
    </w:p>
    <w:p w:rsidR="009B7AEE" w:rsidRDefault="009B7AEE" w:rsidP="009B7AEE">
      <w:pPr>
        <w:pStyle w:val="ListParagraph"/>
        <w:autoSpaceDE w:val="0"/>
        <w:autoSpaceDN w:val="0"/>
        <w:adjustRightInd w:val="0"/>
        <w:spacing w:after="120"/>
        <w:ind w:left="360"/>
        <w:jc w:val="both"/>
        <w:rPr>
          <w:sz w:val="24"/>
          <w:szCs w:val="24"/>
          <w:lang w:eastAsia="en-GB"/>
        </w:rPr>
      </w:pPr>
    </w:p>
    <w:p w:rsidR="009B7AEE" w:rsidRDefault="009B7AEE" w:rsidP="009B7AEE">
      <w:pPr>
        <w:pStyle w:val="ListParagraph"/>
        <w:numPr>
          <w:ilvl w:val="0"/>
          <w:numId w:val="30"/>
        </w:numPr>
        <w:autoSpaceDE w:val="0"/>
        <w:autoSpaceDN w:val="0"/>
        <w:adjustRightInd w:val="0"/>
        <w:spacing w:after="120"/>
        <w:jc w:val="both"/>
        <w:rPr>
          <w:sz w:val="24"/>
          <w:szCs w:val="24"/>
          <w:lang w:eastAsia="en-GB"/>
        </w:rPr>
      </w:pPr>
      <w:r>
        <w:rPr>
          <w:sz w:val="24"/>
          <w:szCs w:val="24"/>
          <w:lang w:eastAsia="en-GB"/>
        </w:rPr>
        <w:t>The 20</w:t>
      </w:r>
      <w:r w:rsidR="00136986">
        <w:rPr>
          <w:sz w:val="24"/>
          <w:szCs w:val="24"/>
          <w:lang w:eastAsia="en-GB"/>
        </w:rPr>
        <w:t>22/23 budget highlighted that £9.2</w:t>
      </w:r>
      <w:r>
        <w:rPr>
          <w:sz w:val="24"/>
          <w:szCs w:val="24"/>
          <w:lang w:eastAsia="en-GB"/>
        </w:rPr>
        <w:t xml:space="preserve"> million was needed to manage risks. </w:t>
      </w:r>
      <w:r w:rsidR="0022394C">
        <w:rPr>
          <w:sz w:val="24"/>
          <w:szCs w:val="24"/>
          <w:lang w:eastAsia="en-GB"/>
        </w:rPr>
        <w:t>At the end of 2021/22 they totalled £1</w:t>
      </w:r>
      <w:r w:rsidR="00556097">
        <w:rPr>
          <w:sz w:val="24"/>
          <w:szCs w:val="24"/>
          <w:lang w:eastAsia="en-GB"/>
        </w:rPr>
        <w:t>2</w:t>
      </w:r>
      <w:r w:rsidR="0022394C">
        <w:rPr>
          <w:sz w:val="24"/>
          <w:szCs w:val="24"/>
          <w:lang w:eastAsia="en-GB"/>
        </w:rPr>
        <w:t>.</w:t>
      </w:r>
      <w:r w:rsidR="00556097">
        <w:rPr>
          <w:sz w:val="24"/>
          <w:szCs w:val="24"/>
          <w:lang w:eastAsia="en-GB"/>
        </w:rPr>
        <w:t>4</w:t>
      </w:r>
      <w:r w:rsidR="0022394C">
        <w:rPr>
          <w:sz w:val="24"/>
          <w:szCs w:val="24"/>
          <w:lang w:eastAsia="en-GB"/>
        </w:rPr>
        <w:t xml:space="preserve"> million. This means there are excess reserves of £</w:t>
      </w:r>
      <w:r w:rsidR="00556097">
        <w:rPr>
          <w:sz w:val="24"/>
          <w:szCs w:val="24"/>
          <w:lang w:eastAsia="en-GB"/>
        </w:rPr>
        <w:t>3.2</w:t>
      </w:r>
      <w:r w:rsidR="0022394C">
        <w:rPr>
          <w:sz w:val="24"/>
          <w:szCs w:val="24"/>
          <w:lang w:eastAsia="en-GB"/>
        </w:rPr>
        <w:t xml:space="preserve"> million.</w:t>
      </w:r>
    </w:p>
    <w:p w:rsidR="00400B2A" w:rsidRDefault="00400B2A" w:rsidP="00400B2A">
      <w:pPr>
        <w:pStyle w:val="ListParagraph"/>
        <w:autoSpaceDE w:val="0"/>
        <w:autoSpaceDN w:val="0"/>
        <w:adjustRightInd w:val="0"/>
        <w:spacing w:after="120"/>
        <w:ind w:left="360"/>
        <w:jc w:val="both"/>
        <w:rPr>
          <w:sz w:val="24"/>
          <w:szCs w:val="24"/>
          <w:lang w:eastAsia="en-GB"/>
        </w:rPr>
      </w:pPr>
    </w:p>
    <w:p w:rsidR="009B7AEE" w:rsidRDefault="00991831" w:rsidP="009B7AEE">
      <w:pPr>
        <w:pStyle w:val="ListParagraph"/>
        <w:numPr>
          <w:ilvl w:val="0"/>
          <w:numId w:val="30"/>
        </w:numPr>
        <w:autoSpaceDE w:val="0"/>
        <w:autoSpaceDN w:val="0"/>
        <w:adjustRightInd w:val="0"/>
        <w:spacing w:after="120"/>
        <w:jc w:val="both"/>
        <w:rPr>
          <w:sz w:val="24"/>
          <w:szCs w:val="24"/>
          <w:lang w:eastAsia="en-GB"/>
        </w:rPr>
      </w:pPr>
      <w:r>
        <w:rPr>
          <w:sz w:val="24"/>
          <w:szCs w:val="24"/>
          <w:lang w:eastAsia="en-GB"/>
        </w:rPr>
        <w:t xml:space="preserve">Under the new Finance Strategy being developed with borough Directors, </w:t>
      </w:r>
      <w:r w:rsidR="009B7AEE">
        <w:rPr>
          <w:sz w:val="24"/>
          <w:szCs w:val="24"/>
          <w:lang w:eastAsia="en-GB"/>
        </w:rPr>
        <w:t xml:space="preserve">the Authority will disburse back to boroughs </w:t>
      </w:r>
      <w:r>
        <w:rPr>
          <w:sz w:val="24"/>
          <w:szCs w:val="24"/>
          <w:lang w:eastAsia="en-GB"/>
        </w:rPr>
        <w:t xml:space="preserve">the </w:t>
      </w:r>
      <w:r w:rsidR="009B7AEE">
        <w:rPr>
          <w:sz w:val="24"/>
          <w:szCs w:val="24"/>
          <w:lang w:eastAsia="en-GB"/>
        </w:rPr>
        <w:t>£</w:t>
      </w:r>
      <w:r w:rsidR="0015533E">
        <w:rPr>
          <w:sz w:val="24"/>
          <w:szCs w:val="24"/>
          <w:lang w:eastAsia="en-GB"/>
        </w:rPr>
        <w:t>3</w:t>
      </w:r>
      <w:r w:rsidR="009346E3">
        <w:rPr>
          <w:sz w:val="24"/>
          <w:szCs w:val="24"/>
          <w:lang w:eastAsia="en-GB"/>
        </w:rPr>
        <w:t>.</w:t>
      </w:r>
      <w:r w:rsidR="0015533E">
        <w:rPr>
          <w:sz w:val="24"/>
          <w:szCs w:val="24"/>
          <w:lang w:eastAsia="en-GB"/>
        </w:rPr>
        <w:t>2</w:t>
      </w:r>
      <w:r w:rsidR="009B7AEE">
        <w:rPr>
          <w:sz w:val="24"/>
          <w:szCs w:val="24"/>
          <w:lang w:eastAsia="en-GB"/>
        </w:rPr>
        <w:t xml:space="preserve"> million. Th</w:t>
      </w:r>
      <w:r w:rsidR="0022394C">
        <w:rPr>
          <w:sz w:val="24"/>
          <w:szCs w:val="24"/>
          <w:lang w:eastAsia="en-GB"/>
        </w:rPr>
        <w:t xml:space="preserve">is </w:t>
      </w:r>
      <w:r>
        <w:rPr>
          <w:sz w:val="24"/>
          <w:szCs w:val="24"/>
          <w:lang w:eastAsia="en-GB"/>
        </w:rPr>
        <w:t xml:space="preserve">is to </w:t>
      </w:r>
      <w:r w:rsidR="0022394C">
        <w:rPr>
          <w:sz w:val="24"/>
          <w:szCs w:val="24"/>
          <w:lang w:eastAsia="en-GB"/>
        </w:rPr>
        <w:t xml:space="preserve">be apportioned using the council tax base as in previous years and </w:t>
      </w:r>
      <w:r w:rsidR="009B7AEE">
        <w:rPr>
          <w:sz w:val="24"/>
          <w:szCs w:val="24"/>
          <w:lang w:eastAsia="en-GB"/>
        </w:rPr>
        <w:t xml:space="preserve">will appear as a rebate of levies in the </w:t>
      </w:r>
      <w:r w:rsidR="009346E3">
        <w:rPr>
          <w:sz w:val="24"/>
          <w:szCs w:val="24"/>
          <w:lang w:eastAsia="en-GB"/>
        </w:rPr>
        <w:t>2022/23</w:t>
      </w:r>
      <w:r w:rsidR="009B7AEE">
        <w:rPr>
          <w:sz w:val="24"/>
          <w:szCs w:val="24"/>
          <w:lang w:eastAsia="en-GB"/>
        </w:rPr>
        <w:t xml:space="preserve"> budget monitoring reports and accounts. </w:t>
      </w:r>
      <w:r w:rsidR="00C1502C">
        <w:rPr>
          <w:sz w:val="24"/>
          <w:szCs w:val="24"/>
          <w:lang w:eastAsia="en-GB"/>
        </w:rPr>
        <w:t xml:space="preserve">Note that </w:t>
      </w:r>
      <w:r w:rsidR="009B7AEE">
        <w:rPr>
          <w:sz w:val="24"/>
          <w:szCs w:val="24"/>
          <w:lang w:eastAsia="en-GB"/>
        </w:rPr>
        <w:t>the Authority’s forecasts of spending and levies will show an under-recovery of £</w:t>
      </w:r>
      <w:r w:rsidR="0015533E">
        <w:rPr>
          <w:sz w:val="24"/>
          <w:szCs w:val="24"/>
          <w:lang w:eastAsia="en-GB"/>
        </w:rPr>
        <w:t>3</w:t>
      </w:r>
      <w:r w:rsidR="009346E3">
        <w:rPr>
          <w:sz w:val="24"/>
          <w:szCs w:val="24"/>
          <w:lang w:eastAsia="en-GB"/>
        </w:rPr>
        <w:t>.</w:t>
      </w:r>
      <w:r w:rsidR="0015533E">
        <w:rPr>
          <w:sz w:val="24"/>
          <w:szCs w:val="24"/>
          <w:lang w:eastAsia="en-GB"/>
        </w:rPr>
        <w:t>2</w:t>
      </w:r>
      <w:r w:rsidR="00E35AEF">
        <w:rPr>
          <w:sz w:val="24"/>
          <w:szCs w:val="24"/>
          <w:lang w:eastAsia="en-GB"/>
        </w:rPr>
        <w:t xml:space="preserve"> </w:t>
      </w:r>
      <w:r w:rsidR="009B7AEE">
        <w:rPr>
          <w:sz w:val="24"/>
          <w:szCs w:val="24"/>
          <w:lang w:eastAsia="en-GB"/>
        </w:rPr>
        <w:t xml:space="preserve">million </w:t>
      </w:r>
      <w:r w:rsidR="00C1502C">
        <w:rPr>
          <w:sz w:val="24"/>
          <w:szCs w:val="24"/>
          <w:lang w:eastAsia="en-GB"/>
        </w:rPr>
        <w:t xml:space="preserve">in 2022/23 to reflect this disbursement. </w:t>
      </w:r>
    </w:p>
    <w:p w:rsidR="00991831" w:rsidRPr="00991831" w:rsidRDefault="00991831" w:rsidP="00991831">
      <w:pPr>
        <w:pStyle w:val="ListParagraph"/>
        <w:rPr>
          <w:sz w:val="24"/>
          <w:szCs w:val="24"/>
          <w:lang w:eastAsia="en-GB"/>
        </w:rPr>
      </w:pPr>
    </w:p>
    <w:p w:rsidR="00991831" w:rsidRDefault="00991831" w:rsidP="009B7AEE">
      <w:pPr>
        <w:pStyle w:val="ListParagraph"/>
        <w:numPr>
          <w:ilvl w:val="0"/>
          <w:numId w:val="30"/>
        </w:numPr>
        <w:autoSpaceDE w:val="0"/>
        <w:autoSpaceDN w:val="0"/>
        <w:adjustRightInd w:val="0"/>
        <w:spacing w:after="120"/>
        <w:jc w:val="both"/>
        <w:rPr>
          <w:sz w:val="24"/>
          <w:szCs w:val="24"/>
          <w:lang w:eastAsia="en-GB"/>
        </w:rPr>
      </w:pPr>
      <w:r>
        <w:rPr>
          <w:sz w:val="24"/>
          <w:szCs w:val="24"/>
          <w:lang w:eastAsia="en-GB"/>
        </w:rPr>
        <w:t xml:space="preserve">The final Finance Strategy will be recommended to the September Authority </w:t>
      </w:r>
      <w:r w:rsidR="00472DB5">
        <w:rPr>
          <w:sz w:val="24"/>
          <w:szCs w:val="24"/>
          <w:lang w:eastAsia="en-GB"/>
        </w:rPr>
        <w:t xml:space="preserve">meeting </w:t>
      </w:r>
      <w:r>
        <w:rPr>
          <w:sz w:val="24"/>
          <w:szCs w:val="24"/>
          <w:lang w:eastAsia="en-GB"/>
        </w:rPr>
        <w:t>and once approved boroughs will be paid in October.</w:t>
      </w:r>
    </w:p>
    <w:p w:rsidR="00D31A96" w:rsidRPr="00D31A96" w:rsidRDefault="00D31A96" w:rsidP="00D31A96">
      <w:pPr>
        <w:pStyle w:val="ListParagraph"/>
        <w:rPr>
          <w:sz w:val="24"/>
          <w:szCs w:val="24"/>
          <w:lang w:eastAsia="en-GB"/>
        </w:rPr>
      </w:pPr>
    </w:p>
    <w:p w:rsidR="00D31A96" w:rsidRDefault="00D31A96" w:rsidP="00D31A96">
      <w:pPr>
        <w:pStyle w:val="ListParagraph"/>
        <w:numPr>
          <w:ilvl w:val="0"/>
          <w:numId w:val="30"/>
        </w:numPr>
        <w:autoSpaceDE w:val="0"/>
        <w:autoSpaceDN w:val="0"/>
        <w:adjustRightInd w:val="0"/>
        <w:spacing w:after="120"/>
        <w:jc w:val="both"/>
        <w:rPr>
          <w:sz w:val="24"/>
          <w:szCs w:val="24"/>
          <w:lang w:eastAsia="en-GB"/>
        </w:rPr>
      </w:pPr>
      <w:r>
        <w:rPr>
          <w:sz w:val="24"/>
          <w:szCs w:val="24"/>
          <w:lang w:eastAsia="en-GB"/>
        </w:rPr>
        <w:t>The table below benchmarks the Authority’s reserves as described earlier with other London Waste Authorities latest published figures (2020/21 financial statements). In this context the Authority’s reserves are not excessive.</w:t>
      </w:r>
    </w:p>
    <w:p w:rsidR="00D31A96" w:rsidRPr="004A5F7F" w:rsidRDefault="00D31A96" w:rsidP="00D31A96">
      <w:pPr>
        <w:pStyle w:val="ListParagraph"/>
        <w:rPr>
          <w:sz w:val="24"/>
          <w:szCs w:val="24"/>
          <w:lang w:eastAsia="en-GB"/>
        </w:rPr>
      </w:pPr>
    </w:p>
    <w:p w:rsidR="00D31A96" w:rsidRDefault="00D31A96" w:rsidP="00D31A96">
      <w:pPr>
        <w:pStyle w:val="ListParagraph"/>
        <w:autoSpaceDE w:val="0"/>
        <w:autoSpaceDN w:val="0"/>
        <w:adjustRightInd w:val="0"/>
        <w:spacing w:after="120"/>
        <w:ind w:left="360"/>
        <w:jc w:val="center"/>
        <w:rPr>
          <w:sz w:val="24"/>
          <w:szCs w:val="24"/>
          <w:lang w:eastAsia="en-GB"/>
        </w:rPr>
      </w:pPr>
      <w:r>
        <w:rPr>
          <w:noProof/>
          <w:lang w:eastAsia="en-GB"/>
        </w:rPr>
        <w:lastRenderedPageBreak/>
        <w:drawing>
          <wp:inline distT="0" distB="0" distL="0" distR="0" wp14:anchorId="1DAE460E" wp14:editId="5680B320">
            <wp:extent cx="4950460" cy="2668613"/>
            <wp:effectExtent l="0" t="0" r="2540" b="1778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C1D41" w:rsidRDefault="005C1D41" w:rsidP="005C1D41">
      <w:pPr>
        <w:pStyle w:val="ListParagraph"/>
        <w:autoSpaceDE w:val="0"/>
        <w:autoSpaceDN w:val="0"/>
        <w:adjustRightInd w:val="0"/>
        <w:spacing w:after="120"/>
        <w:ind w:left="360"/>
        <w:jc w:val="both"/>
        <w:rPr>
          <w:sz w:val="24"/>
          <w:szCs w:val="24"/>
          <w:lang w:eastAsia="en-GB"/>
        </w:rPr>
      </w:pPr>
    </w:p>
    <w:p w:rsidR="00EF489A" w:rsidRPr="00EF489A" w:rsidRDefault="00EF489A" w:rsidP="00386E22">
      <w:pPr>
        <w:autoSpaceDE w:val="0"/>
        <w:autoSpaceDN w:val="0"/>
        <w:adjustRightInd w:val="0"/>
        <w:spacing w:after="120"/>
        <w:jc w:val="both"/>
        <w:rPr>
          <w:rFonts w:ascii="Arial" w:hAnsi="Arial" w:cs="Arial"/>
          <w:b/>
          <w:szCs w:val="24"/>
          <w:lang w:eastAsia="en-GB"/>
        </w:rPr>
      </w:pPr>
      <w:r w:rsidRPr="00EF489A">
        <w:rPr>
          <w:rFonts w:ascii="Arial" w:hAnsi="Arial" w:cs="Arial"/>
          <w:b/>
          <w:szCs w:val="24"/>
          <w:lang w:eastAsia="en-GB"/>
        </w:rPr>
        <w:t xml:space="preserve">Year-end </w:t>
      </w:r>
      <w:r w:rsidR="00603F44">
        <w:rPr>
          <w:rFonts w:ascii="Arial" w:hAnsi="Arial" w:cs="Arial"/>
          <w:b/>
          <w:szCs w:val="24"/>
          <w:lang w:eastAsia="en-GB"/>
        </w:rPr>
        <w:t>valuation</w:t>
      </w:r>
      <w:r w:rsidR="00886286">
        <w:rPr>
          <w:rFonts w:ascii="Arial" w:hAnsi="Arial" w:cs="Arial"/>
          <w:b/>
          <w:szCs w:val="24"/>
          <w:lang w:eastAsia="en-GB"/>
        </w:rPr>
        <w:t>s</w:t>
      </w:r>
    </w:p>
    <w:p w:rsidR="00534B31" w:rsidRDefault="00534B31" w:rsidP="00534B31">
      <w:pPr>
        <w:pStyle w:val="ListParagraph"/>
        <w:numPr>
          <w:ilvl w:val="0"/>
          <w:numId w:val="30"/>
        </w:numPr>
        <w:autoSpaceDE w:val="0"/>
        <w:autoSpaceDN w:val="0"/>
        <w:adjustRightInd w:val="0"/>
        <w:spacing w:after="120"/>
        <w:jc w:val="both"/>
        <w:rPr>
          <w:sz w:val="24"/>
          <w:szCs w:val="24"/>
          <w:lang w:eastAsia="en-GB"/>
        </w:rPr>
      </w:pPr>
      <w:r w:rsidRPr="00534B31">
        <w:rPr>
          <w:sz w:val="24"/>
          <w:szCs w:val="24"/>
        </w:rPr>
        <w:t xml:space="preserve">The Authority instructed a </w:t>
      </w:r>
      <w:proofErr w:type="spellStart"/>
      <w:r w:rsidRPr="00534B31">
        <w:rPr>
          <w:sz w:val="24"/>
          <w:szCs w:val="24"/>
        </w:rPr>
        <w:t>valuer</w:t>
      </w:r>
      <w:proofErr w:type="spellEnd"/>
      <w:r w:rsidRPr="00534B31">
        <w:rPr>
          <w:sz w:val="24"/>
          <w:szCs w:val="24"/>
        </w:rPr>
        <w:t xml:space="preserve"> </w:t>
      </w:r>
      <w:r>
        <w:rPr>
          <w:sz w:val="24"/>
          <w:szCs w:val="24"/>
        </w:rPr>
        <w:t xml:space="preserve">(Vail Williams) </w:t>
      </w:r>
      <w:r w:rsidRPr="00534B31">
        <w:rPr>
          <w:sz w:val="24"/>
          <w:szCs w:val="24"/>
        </w:rPr>
        <w:t xml:space="preserve">to carry out the </w:t>
      </w:r>
      <w:r w:rsidR="00C1502C">
        <w:rPr>
          <w:sz w:val="24"/>
          <w:szCs w:val="24"/>
        </w:rPr>
        <w:t>periodic five yearly valuation</w:t>
      </w:r>
      <w:r w:rsidRPr="00534B31">
        <w:rPr>
          <w:sz w:val="24"/>
          <w:szCs w:val="24"/>
        </w:rPr>
        <w:t xml:space="preserve"> </w:t>
      </w:r>
      <w:r w:rsidR="00C1502C">
        <w:rPr>
          <w:sz w:val="24"/>
          <w:szCs w:val="24"/>
        </w:rPr>
        <w:t>for the year ending 31 March 20</w:t>
      </w:r>
      <w:r w:rsidRPr="00534B31">
        <w:rPr>
          <w:sz w:val="24"/>
          <w:szCs w:val="24"/>
        </w:rPr>
        <w:t>22</w:t>
      </w:r>
      <w:r w:rsidR="00C1502C">
        <w:rPr>
          <w:sz w:val="24"/>
          <w:szCs w:val="24"/>
        </w:rPr>
        <w:t xml:space="preserve">. This </w:t>
      </w:r>
      <w:r w:rsidRPr="00534B31">
        <w:rPr>
          <w:sz w:val="24"/>
          <w:szCs w:val="24"/>
        </w:rPr>
        <w:t>result</w:t>
      </w:r>
      <w:r w:rsidR="00C1502C">
        <w:rPr>
          <w:sz w:val="24"/>
          <w:szCs w:val="24"/>
        </w:rPr>
        <w:t>ed</w:t>
      </w:r>
      <w:r w:rsidRPr="00534B31">
        <w:rPr>
          <w:sz w:val="24"/>
          <w:szCs w:val="24"/>
        </w:rPr>
        <w:t xml:space="preserve"> in an overall gain on property valuations of £47.0 million.</w:t>
      </w:r>
    </w:p>
    <w:p w:rsidR="00534B31" w:rsidRPr="00534B31" w:rsidRDefault="00534B31" w:rsidP="00534B31">
      <w:pPr>
        <w:pStyle w:val="ListParagraph"/>
        <w:autoSpaceDE w:val="0"/>
        <w:autoSpaceDN w:val="0"/>
        <w:adjustRightInd w:val="0"/>
        <w:spacing w:after="120"/>
        <w:ind w:left="360"/>
        <w:jc w:val="both"/>
        <w:rPr>
          <w:sz w:val="24"/>
          <w:szCs w:val="24"/>
          <w:lang w:eastAsia="en-GB"/>
        </w:rPr>
      </w:pPr>
    </w:p>
    <w:p w:rsidR="00CE30EF" w:rsidRPr="00534B31" w:rsidRDefault="00D11F25" w:rsidP="00534B31">
      <w:pPr>
        <w:pStyle w:val="ListParagraph"/>
        <w:numPr>
          <w:ilvl w:val="0"/>
          <w:numId w:val="30"/>
        </w:numPr>
        <w:autoSpaceDE w:val="0"/>
        <w:autoSpaceDN w:val="0"/>
        <w:adjustRightInd w:val="0"/>
        <w:spacing w:after="120"/>
        <w:jc w:val="both"/>
        <w:rPr>
          <w:sz w:val="24"/>
          <w:szCs w:val="24"/>
          <w:lang w:eastAsia="en-GB"/>
        </w:rPr>
      </w:pPr>
      <w:r w:rsidRPr="00886286">
        <w:rPr>
          <w:sz w:val="24"/>
          <w:szCs w:val="24"/>
          <w:lang w:eastAsia="en-GB"/>
        </w:rPr>
        <w:t xml:space="preserve">The </w:t>
      </w:r>
      <w:r w:rsidR="00886286">
        <w:rPr>
          <w:sz w:val="24"/>
          <w:szCs w:val="24"/>
          <w:lang w:eastAsia="en-GB"/>
        </w:rPr>
        <w:t xml:space="preserve">key message from the property valuation exercise was that the value of </w:t>
      </w:r>
      <w:r w:rsidR="00534B31">
        <w:rPr>
          <w:sz w:val="24"/>
          <w:szCs w:val="24"/>
          <w:lang w:eastAsia="en-GB"/>
        </w:rPr>
        <w:t xml:space="preserve">land has increased substantially, and this has been reflected in the </w:t>
      </w:r>
      <w:proofErr w:type="spellStart"/>
      <w:r w:rsidR="00534B31">
        <w:rPr>
          <w:sz w:val="24"/>
          <w:szCs w:val="24"/>
          <w:lang w:eastAsia="en-GB"/>
        </w:rPr>
        <w:t>valuer’s</w:t>
      </w:r>
      <w:proofErr w:type="spellEnd"/>
      <w:r w:rsidR="00534B31">
        <w:rPr>
          <w:sz w:val="24"/>
          <w:szCs w:val="24"/>
          <w:lang w:eastAsia="en-GB"/>
        </w:rPr>
        <w:t xml:space="preserve"> report. </w:t>
      </w:r>
      <w:r w:rsidR="00CE30EF" w:rsidRPr="00534B31">
        <w:rPr>
          <w:sz w:val="24"/>
          <w:szCs w:val="24"/>
          <w:lang w:eastAsia="en-GB"/>
        </w:rPr>
        <w:t>The net total notional movement</w:t>
      </w:r>
      <w:r w:rsidR="00EC3617">
        <w:rPr>
          <w:sz w:val="24"/>
          <w:szCs w:val="24"/>
          <w:lang w:eastAsia="en-GB"/>
        </w:rPr>
        <w:t>s</w:t>
      </w:r>
      <w:r w:rsidR="00CE30EF" w:rsidRPr="00534B31">
        <w:rPr>
          <w:sz w:val="24"/>
          <w:szCs w:val="24"/>
          <w:lang w:eastAsia="en-GB"/>
        </w:rPr>
        <w:t xml:space="preserve"> resulting from the valuation ha</w:t>
      </w:r>
      <w:r w:rsidR="00400B2A" w:rsidRPr="00534B31">
        <w:rPr>
          <w:sz w:val="24"/>
          <w:szCs w:val="24"/>
          <w:lang w:eastAsia="en-GB"/>
        </w:rPr>
        <w:t>ve</w:t>
      </w:r>
      <w:r w:rsidR="00CE30EF" w:rsidRPr="00534B31">
        <w:rPr>
          <w:sz w:val="24"/>
          <w:szCs w:val="24"/>
          <w:lang w:eastAsia="en-GB"/>
        </w:rPr>
        <w:t xml:space="preserve"> been applied to the accounts.</w:t>
      </w:r>
    </w:p>
    <w:p w:rsidR="00CE30EF" w:rsidRPr="00CE30EF" w:rsidRDefault="00CE30EF" w:rsidP="00CE30EF">
      <w:pPr>
        <w:pStyle w:val="ListParagraph"/>
        <w:rPr>
          <w:sz w:val="24"/>
          <w:szCs w:val="24"/>
          <w:lang w:eastAsia="en-GB"/>
        </w:rPr>
      </w:pPr>
    </w:p>
    <w:p w:rsidR="00B27C91" w:rsidRPr="00B27C91" w:rsidRDefault="00B27C91" w:rsidP="00B27C91">
      <w:pPr>
        <w:pStyle w:val="ListParagraph"/>
        <w:numPr>
          <w:ilvl w:val="0"/>
          <w:numId w:val="30"/>
        </w:numPr>
        <w:autoSpaceDE w:val="0"/>
        <w:autoSpaceDN w:val="0"/>
        <w:adjustRightInd w:val="0"/>
        <w:spacing w:after="120"/>
        <w:jc w:val="both"/>
        <w:rPr>
          <w:szCs w:val="24"/>
          <w:lang w:eastAsia="en-GB"/>
        </w:rPr>
      </w:pPr>
      <w:r w:rsidRPr="007C3C7B">
        <w:rPr>
          <w:sz w:val="24"/>
          <w:szCs w:val="24"/>
          <w:lang w:eastAsia="en-GB"/>
        </w:rPr>
        <w:t xml:space="preserve">These adjustments are </w:t>
      </w:r>
      <w:r>
        <w:rPr>
          <w:sz w:val="24"/>
          <w:szCs w:val="24"/>
          <w:lang w:eastAsia="en-GB"/>
        </w:rPr>
        <w:t xml:space="preserve">notional. They are recognised in the accounts but not realised. </w:t>
      </w:r>
      <w:r w:rsidRPr="007C3C7B">
        <w:rPr>
          <w:sz w:val="24"/>
          <w:szCs w:val="24"/>
          <w:lang w:eastAsia="en-GB"/>
        </w:rPr>
        <w:t>The valuation</w:t>
      </w:r>
      <w:r>
        <w:rPr>
          <w:sz w:val="24"/>
          <w:szCs w:val="24"/>
          <w:lang w:eastAsia="en-GB"/>
        </w:rPr>
        <w:t>s</w:t>
      </w:r>
      <w:r w:rsidRPr="007C3C7B">
        <w:rPr>
          <w:sz w:val="24"/>
          <w:szCs w:val="24"/>
          <w:lang w:eastAsia="en-GB"/>
        </w:rPr>
        <w:t xml:space="preserve"> </w:t>
      </w:r>
      <w:r>
        <w:rPr>
          <w:sz w:val="24"/>
          <w:szCs w:val="24"/>
          <w:lang w:eastAsia="en-GB"/>
        </w:rPr>
        <w:t xml:space="preserve">are </w:t>
      </w:r>
      <w:r w:rsidRPr="007C3C7B">
        <w:rPr>
          <w:sz w:val="24"/>
          <w:szCs w:val="24"/>
          <w:lang w:eastAsia="en-GB"/>
        </w:rPr>
        <w:t xml:space="preserve">for accounting purposes only and do not represent </w:t>
      </w:r>
      <w:r>
        <w:rPr>
          <w:sz w:val="24"/>
          <w:szCs w:val="24"/>
          <w:lang w:eastAsia="en-GB"/>
        </w:rPr>
        <w:t>any cash in or out of the Authority. The Authority has over several years experienced valuations bouncing up and down with sizeable adjustments, although this is by far the largest in that time.</w:t>
      </w:r>
    </w:p>
    <w:p w:rsidR="00B27C91" w:rsidRPr="007C3C7B" w:rsidRDefault="00B27C91" w:rsidP="00B27C91">
      <w:pPr>
        <w:pStyle w:val="ListParagraph"/>
        <w:autoSpaceDE w:val="0"/>
        <w:autoSpaceDN w:val="0"/>
        <w:adjustRightInd w:val="0"/>
        <w:spacing w:after="120"/>
        <w:ind w:left="360"/>
        <w:jc w:val="both"/>
        <w:rPr>
          <w:szCs w:val="24"/>
          <w:lang w:eastAsia="en-GB"/>
        </w:rPr>
      </w:pPr>
      <w:r w:rsidRPr="007C3C7B">
        <w:rPr>
          <w:sz w:val="24"/>
          <w:szCs w:val="24"/>
          <w:lang w:eastAsia="en-GB"/>
        </w:rPr>
        <w:t xml:space="preserve"> </w:t>
      </w:r>
    </w:p>
    <w:p w:rsidR="009D391A" w:rsidRPr="002C3548" w:rsidRDefault="00CE30EF" w:rsidP="00386E22">
      <w:pPr>
        <w:pStyle w:val="ListParagraph"/>
        <w:numPr>
          <w:ilvl w:val="0"/>
          <w:numId w:val="30"/>
        </w:numPr>
        <w:autoSpaceDE w:val="0"/>
        <w:autoSpaceDN w:val="0"/>
        <w:adjustRightInd w:val="0"/>
        <w:spacing w:after="120"/>
        <w:jc w:val="both"/>
        <w:rPr>
          <w:sz w:val="24"/>
          <w:szCs w:val="24"/>
          <w:lang w:eastAsia="en-GB"/>
        </w:rPr>
      </w:pPr>
      <w:r>
        <w:rPr>
          <w:sz w:val="24"/>
          <w:szCs w:val="24"/>
          <w:lang w:eastAsia="en-GB"/>
        </w:rPr>
        <w:t xml:space="preserve">The </w:t>
      </w:r>
      <w:r w:rsidR="00A547C9">
        <w:rPr>
          <w:sz w:val="24"/>
          <w:szCs w:val="24"/>
          <w:lang w:eastAsia="en-GB"/>
        </w:rPr>
        <w:t xml:space="preserve">latest </w:t>
      </w:r>
      <w:r>
        <w:rPr>
          <w:sz w:val="24"/>
          <w:szCs w:val="24"/>
          <w:lang w:eastAsia="en-GB"/>
        </w:rPr>
        <w:t xml:space="preserve">pension valuation by the </w:t>
      </w:r>
      <w:r w:rsidR="002B0227" w:rsidRPr="00CD7727">
        <w:rPr>
          <w:sz w:val="24"/>
          <w:szCs w:val="24"/>
          <w:lang w:eastAsia="en-GB"/>
        </w:rPr>
        <w:t>LPFA</w:t>
      </w:r>
      <w:r w:rsidR="008E5D5D">
        <w:rPr>
          <w:sz w:val="24"/>
          <w:szCs w:val="24"/>
          <w:lang w:eastAsia="en-GB"/>
        </w:rPr>
        <w:t xml:space="preserve">’s </w:t>
      </w:r>
      <w:r>
        <w:rPr>
          <w:sz w:val="24"/>
          <w:szCs w:val="24"/>
          <w:lang w:eastAsia="en-GB"/>
        </w:rPr>
        <w:t xml:space="preserve">actuaries </w:t>
      </w:r>
      <w:r w:rsidR="002C3548">
        <w:rPr>
          <w:sz w:val="24"/>
          <w:szCs w:val="24"/>
          <w:lang w:eastAsia="en-GB"/>
        </w:rPr>
        <w:t xml:space="preserve">shows </w:t>
      </w:r>
      <w:r w:rsidR="00A547C9">
        <w:rPr>
          <w:sz w:val="24"/>
          <w:szCs w:val="24"/>
          <w:lang w:eastAsia="en-GB"/>
        </w:rPr>
        <w:t xml:space="preserve">a </w:t>
      </w:r>
      <w:r w:rsidR="00B27C91">
        <w:rPr>
          <w:sz w:val="24"/>
          <w:szCs w:val="24"/>
          <w:lang w:eastAsia="en-GB"/>
        </w:rPr>
        <w:t xml:space="preserve">reduction in the </w:t>
      </w:r>
      <w:r w:rsidR="002C3548" w:rsidRPr="00893BDC">
        <w:rPr>
          <w:sz w:val="24"/>
          <w:szCs w:val="24"/>
        </w:rPr>
        <w:t>pension liability</w:t>
      </w:r>
      <w:r w:rsidR="00B27C91">
        <w:rPr>
          <w:sz w:val="24"/>
          <w:szCs w:val="24"/>
        </w:rPr>
        <w:t xml:space="preserve">. This </w:t>
      </w:r>
      <w:r w:rsidR="00A547C9">
        <w:rPr>
          <w:sz w:val="24"/>
          <w:szCs w:val="24"/>
        </w:rPr>
        <w:t xml:space="preserve">represents </w:t>
      </w:r>
      <w:r w:rsidR="00B27C91">
        <w:rPr>
          <w:sz w:val="24"/>
          <w:szCs w:val="24"/>
        </w:rPr>
        <w:t xml:space="preserve">an actuarial gain </w:t>
      </w:r>
      <w:r w:rsidR="000D5A53">
        <w:rPr>
          <w:sz w:val="24"/>
          <w:szCs w:val="24"/>
        </w:rPr>
        <w:t>of £</w:t>
      </w:r>
      <w:r w:rsidR="00A547C9">
        <w:rPr>
          <w:sz w:val="24"/>
          <w:szCs w:val="24"/>
        </w:rPr>
        <w:t>3</w:t>
      </w:r>
      <w:r w:rsidR="002C3548" w:rsidRPr="002C3548">
        <w:rPr>
          <w:sz w:val="24"/>
          <w:szCs w:val="24"/>
        </w:rPr>
        <w:t>.0 million (£2.7 million loss in the previous year).</w:t>
      </w:r>
      <w:r w:rsidR="00A547C9">
        <w:rPr>
          <w:sz w:val="24"/>
          <w:szCs w:val="24"/>
        </w:rPr>
        <w:t xml:space="preserve"> </w:t>
      </w:r>
    </w:p>
    <w:p w:rsidR="009D391A" w:rsidRPr="009D391A" w:rsidRDefault="009D391A" w:rsidP="009D391A">
      <w:pPr>
        <w:pStyle w:val="ListParagraph"/>
        <w:rPr>
          <w:sz w:val="24"/>
          <w:szCs w:val="24"/>
          <w:lang w:eastAsia="en-GB"/>
        </w:rPr>
      </w:pPr>
    </w:p>
    <w:p w:rsidR="008738BE" w:rsidRDefault="007954F5" w:rsidP="008738BE">
      <w:pPr>
        <w:spacing w:after="120"/>
        <w:jc w:val="both"/>
        <w:rPr>
          <w:rFonts w:ascii="Arial" w:hAnsi="Arial" w:cs="Arial"/>
          <w:szCs w:val="24"/>
          <w:lang w:val="en-US"/>
        </w:rPr>
      </w:pPr>
      <w:r w:rsidRPr="00B27C91">
        <w:rPr>
          <w:rFonts w:ascii="Arial" w:hAnsi="Arial" w:cs="Arial"/>
          <w:szCs w:val="24"/>
          <w:lang w:val="en-US"/>
        </w:rPr>
        <w:t>30</w:t>
      </w:r>
      <w:r w:rsidR="008738BE">
        <w:rPr>
          <w:rFonts w:ascii="Arial" w:hAnsi="Arial" w:cs="Arial"/>
          <w:b/>
          <w:szCs w:val="24"/>
          <w:lang w:val="en-US"/>
        </w:rPr>
        <w:t xml:space="preserve">. </w:t>
      </w:r>
      <w:r w:rsidR="006A5089" w:rsidRPr="007A3E6A">
        <w:rPr>
          <w:rFonts w:ascii="Arial" w:hAnsi="Arial" w:cs="Arial"/>
          <w:b/>
          <w:szCs w:val="24"/>
          <w:lang w:val="en-US"/>
        </w:rPr>
        <w:t xml:space="preserve">Financial Implications </w:t>
      </w:r>
      <w:r w:rsidR="006A5089" w:rsidRPr="007A3E6A">
        <w:rPr>
          <w:rFonts w:ascii="Arial" w:hAnsi="Arial" w:cs="Arial"/>
          <w:szCs w:val="24"/>
          <w:lang w:val="en-US"/>
        </w:rPr>
        <w:t>– These are detailed in the report</w:t>
      </w:r>
      <w:r w:rsidR="008738BE">
        <w:rPr>
          <w:rFonts w:ascii="Arial" w:hAnsi="Arial" w:cs="Arial"/>
          <w:szCs w:val="24"/>
          <w:lang w:val="en-US"/>
        </w:rPr>
        <w:t>.</w:t>
      </w:r>
    </w:p>
    <w:p w:rsidR="00C2799A" w:rsidRPr="00C2799A" w:rsidRDefault="00C2799A" w:rsidP="008738BE">
      <w:pPr>
        <w:jc w:val="both"/>
        <w:rPr>
          <w:rFonts w:ascii="Arial" w:hAnsi="Arial" w:cs="Arial"/>
          <w:i/>
          <w:szCs w:val="24"/>
          <w:lang w:val="en-US"/>
        </w:rPr>
      </w:pPr>
    </w:p>
    <w:p w:rsidR="008738BE" w:rsidRPr="007A3E6A" w:rsidRDefault="007954F5" w:rsidP="00D31A96">
      <w:pPr>
        <w:spacing w:after="120"/>
        <w:jc w:val="both"/>
        <w:rPr>
          <w:rFonts w:ascii="Arial" w:hAnsi="Arial" w:cs="Arial"/>
          <w:b/>
          <w:szCs w:val="24"/>
          <w:lang w:val="en-US"/>
        </w:rPr>
      </w:pPr>
      <w:r w:rsidRPr="00B27C91">
        <w:rPr>
          <w:rFonts w:ascii="Arial" w:hAnsi="Arial" w:cs="Arial"/>
          <w:szCs w:val="24"/>
          <w:lang w:val="en-US"/>
        </w:rPr>
        <w:t>31</w:t>
      </w:r>
      <w:r w:rsidR="008738BE" w:rsidRPr="00B27C91">
        <w:rPr>
          <w:rFonts w:ascii="Arial" w:hAnsi="Arial" w:cs="Arial"/>
          <w:szCs w:val="24"/>
          <w:lang w:val="en-US"/>
        </w:rPr>
        <w:t>.</w:t>
      </w:r>
      <w:r w:rsidR="008738BE">
        <w:rPr>
          <w:rFonts w:ascii="Arial" w:hAnsi="Arial" w:cs="Arial"/>
          <w:b/>
          <w:szCs w:val="24"/>
          <w:lang w:val="en-US"/>
        </w:rPr>
        <w:t xml:space="preserve"> </w:t>
      </w:r>
      <w:r w:rsidR="006A5089" w:rsidRPr="007A3E6A">
        <w:rPr>
          <w:rFonts w:ascii="Arial" w:hAnsi="Arial" w:cs="Arial"/>
          <w:b/>
          <w:szCs w:val="24"/>
          <w:lang w:val="en-US"/>
        </w:rPr>
        <w:t xml:space="preserve">Legal Implications </w:t>
      </w:r>
      <w:r w:rsidR="006A5089" w:rsidRPr="007A3E6A">
        <w:rPr>
          <w:rFonts w:ascii="Arial" w:hAnsi="Arial" w:cs="Arial"/>
          <w:szCs w:val="24"/>
          <w:lang w:val="en-US"/>
        </w:rPr>
        <w:t>–</w:t>
      </w:r>
      <w:r w:rsidR="003877CB">
        <w:rPr>
          <w:rFonts w:ascii="Arial" w:hAnsi="Arial" w:cs="Arial"/>
          <w:szCs w:val="24"/>
          <w:lang w:val="en-US"/>
        </w:rPr>
        <w:t xml:space="preserve"> It is a statutory requirement for the Authority to produce a</w:t>
      </w:r>
      <w:r w:rsidR="003E5C54">
        <w:rPr>
          <w:rFonts w:ascii="Arial" w:hAnsi="Arial" w:cs="Arial"/>
          <w:szCs w:val="24"/>
          <w:lang w:val="en-US"/>
        </w:rPr>
        <w:t>nnual financial statements</w:t>
      </w:r>
      <w:r w:rsidR="006A5089" w:rsidRPr="007A3E6A">
        <w:rPr>
          <w:rFonts w:ascii="Arial" w:hAnsi="Arial" w:cs="Arial"/>
          <w:b/>
          <w:szCs w:val="24"/>
          <w:lang w:val="en-US"/>
        </w:rPr>
        <w:t>.</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7938"/>
      </w:tblGrid>
      <w:tr w:rsidR="00BC0B22" w:rsidRPr="00784955" w:rsidTr="00951B2B">
        <w:tc>
          <w:tcPr>
            <w:tcW w:w="2410" w:type="dxa"/>
          </w:tcPr>
          <w:p w:rsidR="00BC0B22" w:rsidRPr="000E2808" w:rsidRDefault="00BC0B22" w:rsidP="00F529F1">
            <w:pPr>
              <w:spacing w:before="120" w:after="120"/>
              <w:ind w:right="113"/>
              <w:rPr>
                <w:rFonts w:ascii="Arial" w:hAnsi="Arial" w:cs="Arial"/>
                <w:szCs w:val="24"/>
              </w:rPr>
            </w:pPr>
            <w:r w:rsidRPr="000E2808">
              <w:rPr>
                <w:rFonts w:ascii="Arial" w:hAnsi="Arial" w:cs="Arial"/>
                <w:szCs w:val="24"/>
              </w:rPr>
              <w:t>Contact Officers</w:t>
            </w:r>
          </w:p>
          <w:p w:rsidR="00C6030D" w:rsidRPr="000E2808" w:rsidRDefault="00C6030D" w:rsidP="00E04143">
            <w:pPr>
              <w:spacing w:before="120" w:after="120"/>
              <w:ind w:right="113"/>
              <w:rPr>
                <w:rFonts w:ascii="Arial" w:hAnsi="Arial" w:cs="Arial"/>
                <w:i/>
                <w:szCs w:val="24"/>
              </w:rPr>
            </w:pPr>
          </w:p>
        </w:tc>
        <w:tc>
          <w:tcPr>
            <w:tcW w:w="7938" w:type="dxa"/>
          </w:tcPr>
          <w:p w:rsidR="0083770D" w:rsidRPr="007A3E6A" w:rsidRDefault="0083770D" w:rsidP="0083770D">
            <w:pPr>
              <w:spacing w:before="120"/>
              <w:ind w:right="113"/>
              <w:rPr>
                <w:rFonts w:ascii="Arial" w:hAnsi="Arial" w:cs="Arial"/>
                <w:szCs w:val="24"/>
              </w:rPr>
            </w:pPr>
            <w:r w:rsidRPr="007A3E6A">
              <w:rPr>
                <w:rFonts w:ascii="Arial" w:hAnsi="Arial" w:cs="Arial"/>
                <w:szCs w:val="24"/>
              </w:rPr>
              <w:t xml:space="preserve">Jay Patel, </w:t>
            </w:r>
            <w:r>
              <w:rPr>
                <w:rFonts w:ascii="Arial" w:hAnsi="Arial" w:cs="Arial"/>
                <w:szCs w:val="24"/>
              </w:rPr>
              <w:t>Finance Director</w:t>
            </w:r>
            <w:r w:rsidRPr="007A3E6A">
              <w:rPr>
                <w:rFonts w:ascii="Arial" w:hAnsi="Arial" w:cs="Arial"/>
                <w:szCs w:val="24"/>
              </w:rPr>
              <w:t xml:space="preserve">  </w:t>
            </w:r>
            <w:r>
              <w:rPr>
                <w:rFonts w:ascii="Arial" w:hAnsi="Arial" w:cs="Arial"/>
                <w:szCs w:val="24"/>
              </w:rPr>
              <w:tab/>
            </w:r>
            <w:r>
              <w:rPr>
                <w:rFonts w:ascii="Arial" w:hAnsi="Arial" w:cs="Arial"/>
                <w:szCs w:val="24"/>
              </w:rPr>
              <w:tab/>
            </w:r>
            <w:r>
              <w:rPr>
                <w:rFonts w:ascii="Arial" w:hAnsi="Arial" w:cs="Arial"/>
                <w:szCs w:val="24"/>
              </w:rPr>
              <w:tab/>
            </w:r>
            <w:r w:rsidRPr="00654616">
              <w:rPr>
                <w:rFonts w:ascii="Arial" w:hAnsi="Arial" w:cs="Arial"/>
                <w:szCs w:val="24"/>
              </w:rPr>
              <w:t>0</w:t>
            </w:r>
            <w:r>
              <w:rPr>
                <w:rFonts w:ascii="Arial" w:hAnsi="Arial" w:cs="Arial"/>
                <w:szCs w:val="24"/>
              </w:rPr>
              <w:t>1895 54 55 10</w:t>
            </w:r>
          </w:p>
          <w:p w:rsidR="0083770D" w:rsidRDefault="00D81602" w:rsidP="0083770D">
            <w:pPr>
              <w:spacing w:before="120"/>
              <w:ind w:right="113"/>
              <w:rPr>
                <w:rFonts w:ascii="Arial" w:hAnsi="Arial" w:cs="Arial"/>
                <w:szCs w:val="24"/>
              </w:rPr>
            </w:pPr>
            <w:hyperlink r:id="rId12" w:history="1">
              <w:r w:rsidR="0083770D" w:rsidRPr="007A6CBD">
                <w:rPr>
                  <w:rStyle w:val="Hyperlink"/>
                  <w:rFonts w:ascii="Arial" w:hAnsi="Arial" w:cs="Arial"/>
                  <w:szCs w:val="24"/>
                </w:rPr>
                <w:t>jaypatel@westlondonwaste.gov.uk</w:t>
              </w:r>
            </w:hyperlink>
          </w:p>
          <w:p w:rsidR="0083770D" w:rsidRPr="007A3E6A" w:rsidRDefault="0083770D" w:rsidP="0083770D">
            <w:pPr>
              <w:spacing w:before="120"/>
              <w:ind w:right="113"/>
              <w:rPr>
                <w:rFonts w:ascii="Arial" w:hAnsi="Arial"/>
              </w:rPr>
            </w:pPr>
            <w:r w:rsidRPr="007A3E6A">
              <w:rPr>
                <w:rFonts w:ascii="Arial" w:hAnsi="Arial"/>
              </w:rPr>
              <w:t xml:space="preserve">Ian O’Donnell,  Treasurer   </w:t>
            </w:r>
            <w:r w:rsidRPr="007A3E6A">
              <w:rPr>
                <w:rFonts w:ascii="Arial" w:hAnsi="Arial" w:cs="Arial"/>
                <w:szCs w:val="24"/>
              </w:rPr>
              <w:tab/>
            </w:r>
            <w:r w:rsidRPr="007A3E6A">
              <w:rPr>
                <w:rFonts w:ascii="Arial" w:hAnsi="Arial" w:cs="Arial"/>
                <w:szCs w:val="24"/>
              </w:rPr>
              <w:tab/>
            </w:r>
            <w:r w:rsidRPr="007A3E6A">
              <w:rPr>
                <w:rFonts w:ascii="Arial" w:hAnsi="Arial" w:cs="Arial"/>
                <w:szCs w:val="24"/>
              </w:rPr>
              <w:tab/>
            </w:r>
          </w:p>
          <w:p w:rsidR="0083770D" w:rsidRDefault="00D81602" w:rsidP="0083770D">
            <w:pPr>
              <w:spacing w:before="120"/>
              <w:ind w:right="113"/>
              <w:rPr>
                <w:rFonts w:ascii="Arial" w:hAnsi="Arial"/>
              </w:rPr>
            </w:pPr>
            <w:hyperlink r:id="rId13" w:history="1">
              <w:r w:rsidR="0083770D" w:rsidRPr="00A46B0C">
                <w:rPr>
                  <w:rStyle w:val="Hyperlink"/>
                  <w:rFonts w:ascii="Arial" w:hAnsi="Arial"/>
                </w:rPr>
                <w:t>ianodonnell@westlondonwaste.gov.uk</w:t>
              </w:r>
            </w:hyperlink>
            <w:r w:rsidR="0083770D">
              <w:rPr>
                <w:rFonts w:ascii="Arial" w:hAnsi="Arial"/>
              </w:rPr>
              <w:t xml:space="preserve"> </w:t>
            </w:r>
            <w:r w:rsidR="0083770D" w:rsidRPr="007A3E6A">
              <w:rPr>
                <w:rFonts w:ascii="Arial" w:hAnsi="Arial"/>
              </w:rPr>
              <w:t xml:space="preserve">       </w:t>
            </w:r>
          </w:p>
          <w:p w:rsidR="00141753" w:rsidRDefault="00D31A96" w:rsidP="0083770D">
            <w:pPr>
              <w:spacing w:before="120"/>
              <w:ind w:right="113"/>
              <w:rPr>
                <w:rFonts w:ascii="Arial" w:hAnsi="Arial" w:cs="Arial"/>
                <w:szCs w:val="24"/>
              </w:rPr>
            </w:pPr>
            <w:r>
              <w:rPr>
                <w:rFonts w:ascii="Arial" w:hAnsi="Arial" w:cs="Arial"/>
                <w:szCs w:val="24"/>
              </w:rPr>
              <w:t>Sapna Dhanani, Finance Manager</w:t>
            </w:r>
          </w:p>
          <w:p w:rsidR="00D31A96" w:rsidRPr="007A3E6A" w:rsidRDefault="00D81602" w:rsidP="0083770D">
            <w:pPr>
              <w:spacing w:before="120"/>
              <w:ind w:right="113"/>
              <w:rPr>
                <w:rFonts w:ascii="Arial" w:hAnsi="Arial" w:cs="Arial"/>
                <w:szCs w:val="24"/>
              </w:rPr>
            </w:pPr>
            <w:hyperlink r:id="rId14" w:history="1">
              <w:r w:rsidR="00D31A96" w:rsidRPr="009B19DE">
                <w:rPr>
                  <w:rStyle w:val="Hyperlink"/>
                  <w:rFonts w:ascii="Arial" w:hAnsi="Arial" w:cs="Arial"/>
                  <w:szCs w:val="24"/>
                </w:rPr>
                <w:t>sapnadhanani@westlondonwaste.gov.uk</w:t>
              </w:r>
            </w:hyperlink>
          </w:p>
        </w:tc>
      </w:tr>
    </w:tbl>
    <w:p w:rsidR="004A60B5" w:rsidRDefault="004A60B5">
      <w:pPr>
        <w:rPr>
          <w:rFonts w:ascii="Arial" w:hAnsi="Arial" w:cs="Arial"/>
          <w:b/>
          <w:noProof/>
          <w:szCs w:val="24"/>
          <w:lang w:eastAsia="en-GB"/>
        </w:rPr>
      </w:pPr>
    </w:p>
    <w:sectPr w:rsidR="004A60B5" w:rsidSect="003877CB">
      <w:footerReference w:type="default" r:id="rId15"/>
      <w:type w:val="continuous"/>
      <w:pgSz w:w="11906" w:h="16838"/>
      <w:pgMar w:top="567" w:right="851" w:bottom="851" w:left="851" w:header="227" w:footer="78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105" w:rsidRDefault="00643105">
      <w:r>
        <w:separator/>
      </w:r>
    </w:p>
  </w:endnote>
  <w:endnote w:type="continuationSeparator" w:id="0">
    <w:p w:rsidR="00643105" w:rsidRDefault="00643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undry Form Sans">
    <w:altName w:val="Bell MT"/>
    <w:charset w:val="00"/>
    <w:family w:val="auto"/>
    <w:pitch w:val="variable"/>
    <w:sig w:usb0="800000A7" w:usb1="00000040" w:usb2="00000000" w:usb3="00000000" w:csb0="00000001" w:csb1="00000000"/>
  </w:font>
  <w:font w:name="Officina Sans ITC TT">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105" w:rsidRDefault="00643105" w:rsidP="00B20E11">
    <w:pPr>
      <w:spacing w:line="-240" w:lineRule="auto"/>
      <w:ind w:left="4820" w:hanging="4836"/>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105" w:rsidRDefault="00643105">
      <w:r>
        <w:separator/>
      </w:r>
    </w:p>
  </w:footnote>
  <w:footnote w:type="continuationSeparator" w:id="0">
    <w:p w:rsidR="00643105" w:rsidRDefault="006431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EA425B2"/>
    <w:lvl w:ilvl="0">
      <w:start w:val="1"/>
      <w:numFmt w:val="decimal"/>
      <w:pStyle w:val="ListNumber"/>
      <w:lvlText w:val="%1."/>
      <w:lvlJc w:val="left"/>
      <w:pPr>
        <w:tabs>
          <w:tab w:val="num" w:pos="360"/>
        </w:tabs>
        <w:ind w:left="360" w:hanging="360"/>
      </w:pPr>
    </w:lvl>
  </w:abstractNum>
  <w:abstractNum w:abstractNumId="1" w15:restartNumberingAfterBreak="0">
    <w:nsid w:val="071B418D"/>
    <w:multiLevelType w:val="hybridMultilevel"/>
    <w:tmpl w:val="E12E4A2A"/>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 w15:restartNumberingAfterBreak="0">
    <w:nsid w:val="10D02F20"/>
    <w:multiLevelType w:val="hybridMultilevel"/>
    <w:tmpl w:val="2DFED30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 w15:restartNumberingAfterBreak="0">
    <w:nsid w:val="1C440766"/>
    <w:multiLevelType w:val="multilevel"/>
    <w:tmpl w:val="A3267DB0"/>
    <w:lvl w:ilvl="0">
      <w:start w:val="5"/>
      <w:numFmt w:val="decimal"/>
      <w:lvlText w:val="%1."/>
      <w:lvlJc w:val="left"/>
      <w:pPr>
        <w:ind w:left="720" w:hanging="360"/>
      </w:pPr>
      <w:rPr>
        <w:rFonts w:hint="default"/>
        <w:b/>
      </w:rPr>
    </w:lvl>
    <w:lvl w:ilvl="1">
      <w:start w:val="1"/>
      <w:numFmt w:val="decimal"/>
      <w:isLgl/>
      <w:lvlText w:val="%1.%2"/>
      <w:lvlJc w:val="left"/>
      <w:pPr>
        <w:ind w:left="1005" w:hanging="64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EA55D04"/>
    <w:multiLevelType w:val="hybridMultilevel"/>
    <w:tmpl w:val="732E40F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266408C3"/>
    <w:multiLevelType w:val="hybridMultilevel"/>
    <w:tmpl w:val="ACCA3910"/>
    <w:lvl w:ilvl="0" w:tplc="0809001B">
      <w:start w:val="1"/>
      <w:numFmt w:val="lowerRoman"/>
      <w:lvlText w:val="%1."/>
      <w:lvlJc w:val="righ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75E0196"/>
    <w:multiLevelType w:val="hybridMultilevel"/>
    <w:tmpl w:val="29DC5182"/>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7" w15:restartNumberingAfterBreak="0">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7D0943"/>
    <w:multiLevelType w:val="hybridMultilevel"/>
    <w:tmpl w:val="3A5AE15C"/>
    <w:lvl w:ilvl="0" w:tplc="45E257C2">
      <w:start w:val="1"/>
      <w:numFmt w:val="decimal"/>
      <w:lvlText w:val="%1."/>
      <w:lvlJc w:val="left"/>
      <w:pPr>
        <w:ind w:left="360" w:hanging="360"/>
      </w:pPr>
      <w:rPr>
        <w:rFonts w:hint="default"/>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1EF6E25"/>
    <w:multiLevelType w:val="hybridMultilevel"/>
    <w:tmpl w:val="BEAE9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755B83"/>
    <w:multiLevelType w:val="hybridMultilevel"/>
    <w:tmpl w:val="48AC8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B7203A"/>
    <w:multiLevelType w:val="hybridMultilevel"/>
    <w:tmpl w:val="11A8BAB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39CE4F82"/>
    <w:multiLevelType w:val="hybridMultilevel"/>
    <w:tmpl w:val="0E40F04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A3255A"/>
    <w:multiLevelType w:val="hybridMultilevel"/>
    <w:tmpl w:val="5E30E4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8A90342"/>
    <w:multiLevelType w:val="hybridMultilevel"/>
    <w:tmpl w:val="5B786580"/>
    <w:lvl w:ilvl="0" w:tplc="0809001B">
      <w:start w:val="1"/>
      <w:numFmt w:val="lowerRoman"/>
      <w:lvlText w:val="%1."/>
      <w:lvlJc w:val="righ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9195CA2"/>
    <w:multiLevelType w:val="hybridMultilevel"/>
    <w:tmpl w:val="7BDC32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D53126D"/>
    <w:multiLevelType w:val="hybridMultilevel"/>
    <w:tmpl w:val="4222825E"/>
    <w:lvl w:ilvl="0" w:tplc="08090001">
      <w:start w:val="1"/>
      <w:numFmt w:val="bullet"/>
      <w:lvlText w:val=""/>
      <w:lvlJc w:val="left"/>
      <w:pPr>
        <w:ind w:left="2730" w:hanging="360"/>
      </w:pPr>
      <w:rPr>
        <w:rFonts w:ascii="Symbol" w:hAnsi="Symbol" w:hint="default"/>
      </w:rPr>
    </w:lvl>
    <w:lvl w:ilvl="1" w:tplc="08090003" w:tentative="1">
      <w:start w:val="1"/>
      <w:numFmt w:val="bullet"/>
      <w:lvlText w:val="o"/>
      <w:lvlJc w:val="left"/>
      <w:pPr>
        <w:ind w:left="3450" w:hanging="360"/>
      </w:pPr>
      <w:rPr>
        <w:rFonts w:ascii="Courier New" w:hAnsi="Courier New" w:cs="Courier New" w:hint="default"/>
      </w:rPr>
    </w:lvl>
    <w:lvl w:ilvl="2" w:tplc="08090005" w:tentative="1">
      <w:start w:val="1"/>
      <w:numFmt w:val="bullet"/>
      <w:lvlText w:val=""/>
      <w:lvlJc w:val="left"/>
      <w:pPr>
        <w:ind w:left="4170" w:hanging="360"/>
      </w:pPr>
      <w:rPr>
        <w:rFonts w:ascii="Wingdings" w:hAnsi="Wingdings" w:hint="default"/>
      </w:rPr>
    </w:lvl>
    <w:lvl w:ilvl="3" w:tplc="08090001" w:tentative="1">
      <w:start w:val="1"/>
      <w:numFmt w:val="bullet"/>
      <w:lvlText w:val=""/>
      <w:lvlJc w:val="left"/>
      <w:pPr>
        <w:ind w:left="4890" w:hanging="360"/>
      </w:pPr>
      <w:rPr>
        <w:rFonts w:ascii="Symbol" w:hAnsi="Symbol" w:hint="default"/>
      </w:rPr>
    </w:lvl>
    <w:lvl w:ilvl="4" w:tplc="08090003" w:tentative="1">
      <w:start w:val="1"/>
      <w:numFmt w:val="bullet"/>
      <w:lvlText w:val="o"/>
      <w:lvlJc w:val="left"/>
      <w:pPr>
        <w:ind w:left="5610" w:hanging="360"/>
      </w:pPr>
      <w:rPr>
        <w:rFonts w:ascii="Courier New" w:hAnsi="Courier New" w:cs="Courier New" w:hint="default"/>
      </w:rPr>
    </w:lvl>
    <w:lvl w:ilvl="5" w:tplc="08090005" w:tentative="1">
      <w:start w:val="1"/>
      <w:numFmt w:val="bullet"/>
      <w:lvlText w:val=""/>
      <w:lvlJc w:val="left"/>
      <w:pPr>
        <w:ind w:left="6330" w:hanging="360"/>
      </w:pPr>
      <w:rPr>
        <w:rFonts w:ascii="Wingdings" w:hAnsi="Wingdings" w:hint="default"/>
      </w:rPr>
    </w:lvl>
    <w:lvl w:ilvl="6" w:tplc="08090001" w:tentative="1">
      <w:start w:val="1"/>
      <w:numFmt w:val="bullet"/>
      <w:lvlText w:val=""/>
      <w:lvlJc w:val="left"/>
      <w:pPr>
        <w:ind w:left="7050" w:hanging="360"/>
      </w:pPr>
      <w:rPr>
        <w:rFonts w:ascii="Symbol" w:hAnsi="Symbol" w:hint="default"/>
      </w:rPr>
    </w:lvl>
    <w:lvl w:ilvl="7" w:tplc="08090003" w:tentative="1">
      <w:start w:val="1"/>
      <w:numFmt w:val="bullet"/>
      <w:lvlText w:val="o"/>
      <w:lvlJc w:val="left"/>
      <w:pPr>
        <w:ind w:left="7770" w:hanging="360"/>
      </w:pPr>
      <w:rPr>
        <w:rFonts w:ascii="Courier New" w:hAnsi="Courier New" w:cs="Courier New" w:hint="default"/>
      </w:rPr>
    </w:lvl>
    <w:lvl w:ilvl="8" w:tplc="08090005" w:tentative="1">
      <w:start w:val="1"/>
      <w:numFmt w:val="bullet"/>
      <w:lvlText w:val=""/>
      <w:lvlJc w:val="left"/>
      <w:pPr>
        <w:ind w:left="8490" w:hanging="360"/>
      </w:pPr>
      <w:rPr>
        <w:rFonts w:ascii="Wingdings" w:hAnsi="Wingdings" w:hint="default"/>
      </w:rPr>
    </w:lvl>
  </w:abstractNum>
  <w:abstractNum w:abstractNumId="18" w15:restartNumberingAfterBreak="0">
    <w:nsid w:val="5DC75970"/>
    <w:multiLevelType w:val="hybridMultilevel"/>
    <w:tmpl w:val="58C4D7A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30E5D1B"/>
    <w:multiLevelType w:val="multilevel"/>
    <w:tmpl w:val="B67AD6A2"/>
    <w:lvl w:ilvl="0">
      <w:start w:val="1"/>
      <w:numFmt w:val="decimal"/>
      <w:pStyle w:val="N1"/>
      <w:suff w:val="nothing"/>
      <w:lvlText w:val="%1."/>
      <w:lvlJc w:val="left"/>
      <w:pPr>
        <w:ind w:left="0" w:firstLine="170"/>
      </w:pPr>
      <w:rPr>
        <w:b/>
        <w:i w:val="0"/>
      </w:rPr>
    </w:lvl>
    <w:lvl w:ilvl="1">
      <w:start w:val="1"/>
      <w:numFmt w:val="decimal"/>
      <w:pStyle w:val="N2"/>
      <w:suff w:val="space"/>
      <w:lvlText w:val="(%2)"/>
      <w:lvlJc w:val="left"/>
      <w:pPr>
        <w:ind w:left="0" w:firstLine="170"/>
      </w:pPr>
      <w:rPr>
        <w:b w:val="0"/>
        <w:i w:val="0"/>
      </w:r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283"/>
      </w:pPr>
    </w:lvl>
    <w:lvl w:ilvl="4">
      <w:start w:val="27"/>
      <w:numFmt w:val="lowerLetter"/>
      <w:lvlText w:val="(%5)"/>
      <w:lvlJc w:val="left"/>
      <w:pPr>
        <w:tabs>
          <w:tab w:val="num" w:pos="1701"/>
        </w:tabs>
        <w:ind w:left="1701" w:hanging="567"/>
      </w:pPr>
    </w:lvl>
    <w:lvl w:ilvl="5">
      <w:start w:val="1"/>
      <w:numFmt w:val="lowerLetter"/>
      <w:lvlText w:val="(%6)"/>
      <w:lvlJc w:val="left"/>
      <w:pPr>
        <w:tabs>
          <w:tab w:val="num" w:pos="720"/>
        </w:tabs>
        <w:ind w:left="720" w:hanging="720"/>
      </w:pPr>
    </w:lvl>
    <w:lvl w:ilvl="6">
      <w:start w:val="1"/>
      <w:numFmt w:val="lowerRoman"/>
      <w:lvlText w:val="(%7)"/>
      <w:lvlJc w:val="left"/>
      <w:pPr>
        <w:tabs>
          <w:tab w:val="num" w:pos="1440"/>
        </w:tabs>
        <w:ind w:left="1440" w:hanging="720"/>
      </w:pPr>
    </w:lvl>
    <w:lvl w:ilvl="7">
      <w:start w:val="1"/>
      <w:numFmt w:val="lowerLetter"/>
      <w:lvlText w:val="(%8)"/>
      <w:lvlJc w:val="left"/>
      <w:pPr>
        <w:tabs>
          <w:tab w:val="num" w:pos="2160"/>
        </w:tabs>
        <w:ind w:left="2160" w:hanging="720"/>
      </w:pPr>
    </w:lvl>
    <w:lvl w:ilvl="8">
      <w:start w:val="1"/>
      <w:numFmt w:val="lowerRoman"/>
      <w:lvlText w:val="(%9)"/>
      <w:lvlJc w:val="left"/>
      <w:pPr>
        <w:tabs>
          <w:tab w:val="num" w:pos="2880"/>
        </w:tabs>
        <w:ind w:left="2880" w:hanging="720"/>
      </w:pPr>
    </w:lvl>
  </w:abstractNum>
  <w:abstractNum w:abstractNumId="20" w15:restartNumberingAfterBreak="0">
    <w:nsid w:val="66384194"/>
    <w:multiLevelType w:val="singleLevel"/>
    <w:tmpl w:val="28468E90"/>
    <w:lvl w:ilvl="0">
      <w:start w:val="1"/>
      <w:numFmt w:val="decimal"/>
      <w:lvlText w:val="%1."/>
      <w:lvlJc w:val="left"/>
      <w:pPr>
        <w:tabs>
          <w:tab w:val="num" w:pos="570"/>
        </w:tabs>
        <w:ind w:left="570" w:hanging="570"/>
      </w:pPr>
      <w:rPr>
        <w:rFonts w:hint="default"/>
      </w:rPr>
    </w:lvl>
  </w:abstractNum>
  <w:abstractNum w:abstractNumId="21" w15:restartNumberingAfterBreak="0">
    <w:nsid w:val="6AEE758B"/>
    <w:multiLevelType w:val="hybridMultilevel"/>
    <w:tmpl w:val="1CE4A14E"/>
    <w:lvl w:ilvl="0" w:tplc="D188FDBC">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B5C7D3B"/>
    <w:multiLevelType w:val="hybridMultilevel"/>
    <w:tmpl w:val="41E8AE0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6DDF5942"/>
    <w:multiLevelType w:val="hybridMultilevel"/>
    <w:tmpl w:val="E9947D20"/>
    <w:lvl w:ilvl="0" w:tplc="D6DE9A22">
      <w:start w:val="1"/>
      <w:numFmt w:val="decimal"/>
      <w:lvlText w:val="%1."/>
      <w:lvlJc w:val="left"/>
      <w:pPr>
        <w:ind w:left="72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05F4EB8"/>
    <w:multiLevelType w:val="multilevel"/>
    <w:tmpl w:val="728E4E2A"/>
    <w:lvl w:ilvl="0">
      <w:start w:val="1"/>
      <w:numFmt w:val="decimal"/>
      <w:lvlText w:val="%1."/>
      <w:lvlJc w:val="left"/>
      <w:pPr>
        <w:tabs>
          <w:tab w:val="num" w:pos="360"/>
        </w:tabs>
        <w:ind w:left="170" w:hanging="170"/>
      </w:pPr>
      <w:rPr>
        <w:rFonts w:ascii="Arial" w:hAnsi="Arial" w:cs="Arial" w:hint="default"/>
        <w:b/>
        <w:i w:val="0"/>
        <w:sz w:val="24"/>
      </w:rPr>
    </w:lvl>
    <w:lvl w:ilvl="1">
      <w:start w:val="1"/>
      <w:numFmt w:val="decimal"/>
      <w:lvlText w:val="%1.%2."/>
      <w:lvlJc w:val="left"/>
      <w:pPr>
        <w:tabs>
          <w:tab w:val="num" w:pos="502"/>
        </w:tabs>
        <w:ind w:left="312" w:hanging="170"/>
      </w:pPr>
      <w:rPr>
        <w:rFonts w:ascii="Arial" w:hAnsi="Arial" w:cs="Arial" w:hint="default"/>
        <w:b w:val="0"/>
        <w:i w:val="0"/>
        <w:sz w:val="24"/>
        <w:u w:val="none"/>
      </w:rPr>
    </w:lvl>
    <w:lvl w:ilvl="2">
      <w:start w:val="1"/>
      <w:numFmt w:val="decimal"/>
      <w:lvlText w:val="%1.%2.%3."/>
      <w:lvlJc w:val="left"/>
      <w:pPr>
        <w:tabs>
          <w:tab w:val="num" w:pos="720"/>
        </w:tabs>
        <w:ind w:left="170" w:hanging="170"/>
      </w:pPr>
      <w:rPr>
        <w:b w:val="0"/>
        <w:i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5" w15:restartNumberingAfterBreak="0">
    <w:nsid w:val="70A52E9F"/>
    <w:multiLevelType w:val="hybridMultilevel"/>
    <w:tmpl w:val="7F9E76F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6" w15:restartNumberingAfterBreak="0">
    <w:nsid w:val="73217F6D"/>
    <w:multiLevelType w:val="hybridMultilevel"/>
    <w:tmpl w:val="7D78F47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7" w15:restartNumberingAfterBreak="0">
    <w:nsid w:val="733916E2"/>
    <w:multiLevelType w:val="singleLevel"/>
    <w:tmpl w:val="0AF23F5A"/>
    <w:name w:val="seq1"/>
    <w:lvl w:ilvl="0">
      <w:start w:val="2"/>
      <w:numFmt w:val="lowerLetter"/>
      <w:lvlText w:val="%1."/>
      <w:lvlJc w:val="left"/>
      <w:pPr>
        <w:tabs>
          <w:tab w:val="num" w:pos="1069"/>
        </w:tabs>
        <w:ind w:left="1069" w:hanging="360"/>
      </w:pPr>
      <w:rPr>
        <w:rFonts w:hint="default"/>
      </w:rPr>
    </w:lvl>
  </w:abstractNum>
  <w:abstractNum w:abstractNumId="28" w15:restartNumberingAfterBreak="0">
    <w:nsid w:val="7345795E"/>
    <w:multiLevelType w:val="hybridMultilevel"/>
    <w:tmpl w:val="BAECA8B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75CC5A15"/>
    <w:multiLevelType w:val="hybridMultilevel"/>
    <w:tmpl w:val="485A17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5F03E1A"/>
    <w:multiLevelType w:val="hybridMultilevel"/>
    <w:tmpl w:val="7A4E9320"/>
    <w:lvl w:ilvl="0" w:tplc="08090013">
      <w:start w:val="1"/>
      <w:numFmt w:val="upp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71A67F8"/>
    <w:multiLevelType w:val="hybridMultilevel"/>
    <w:tmpl w:val="DA023E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9174817"/>
    <w:multiLevelType w:val="hybridMultilevel"/>
    <w:tmpl w:val="D972ADF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24"/>
  </w:num>
  <w:num w:numId="3">
    <w:abstractNumId w:val="19"/>
  </w:num>
  <w:num w:numId="4">
    <w:abstractNumId w:val="21"/>
  </w:num>
  <w:num w:numId="5">
    <w:abstractNumId w:val="7"/>
  </w:num>
  <w:num w:numId="6">
    <w:abstractNumId w:val="13"/>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3"/>
  </w:num>
  <w:num w:numId="10">
    <w:abstractNumId w:val="3"/>
  </w:num>
  <w:num w:numId="11">
    <w:abstractNumId w:val="9"/>
  </w:num>
  <w:num w:numId="12">
    <w:abstractNumId w:val="20"/>
  </w:num>
  <w:num w:numId="13">
    <w:abstractNumId w:val="29"/>
  </w:num>
  <w:num w:numId="14">
    <w:abstractNumId w:val="17"/>
  </w:num>
  <w:num w:numId="15">
    <w:abstractNumId w:val="11"/>
  </w:num>
  <w:num w:numId="16">
    <w:abstractNumId w:val="31"/>
  </w:num>
  <w:num w:numId="17">
    <w:abstractNumId w:val="22"/>
  </w:num>
  <w:num w:numId="18">
    <w:abstractNumId w:val="6"/>
  </w:num>
  <w:num w:numId="19">
    <w:abstractNumId w:val="28"/>
  </w:num>
  <w:num w:numId="20">
    <w:abstractNumId w:val="30"/>
  </w:num>
  <w:num w:numId="21">
    <w:abstractNumId w:val="15"/>
  </w:num>
  <w:num w:numId="22">
    <w:abstractNumId w:val="5"/>
  </w:num>
  <w:num w:numId="23">
    <w:abstractNumId w:val="32"/>
  </w:num>
  <w:num w:numId="24">
    <w:abstractNumId w:val="2"/>
  </w:num>
  <w:num w:numId="25">
    <w:abstractNumId w:val="4"/>
  </w:num>
  <w:num w:numId="26">
    <w:abstractNumId w:val="25"/>
  </w:num>
  <w:num w:numId="27">
    <w:abstractNumId w:val="26"/>
  </w:num>
  <w:num w:numId="28">
    <w:abstractNumId w:val="16"/>
  </w:num>
  <w:num w:numId="29">
    <w:abstractNumId w:val="18"/>
  </w:num>
  <w:num w:numId="30">
    <w:abstractNumId w:val="8"/>
  </w:num>
  <w:num w:numId="31">
    <w:abstractNumId w:val="14"/>
  </w:num>
  <w:num w:numId="32">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034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1DA"/>
    <w:rsid w:val="000030E0"/>
    <w:rsid w:val="00003890"/>
    <w:rsid w:val="00006FE3"/>
    <w:rsid w:val="00011244"/>
    <w:rsid w:val="00011E40"/>
    <w:rsid w:val="0001215D"/>
    <w:rsid w:val="00013985"/>
    <w:rsid w:val="00016D1A"/>
    <w:rsid w:val="00016FA7"/>
    <w:rsid w:val="00022574"/>
    <w:rsid w:val="00023BF7"/>
    <w:rsid w:val="000247A9"/>
    <w:rsid w:val="00030A72"/>
    <w:rsid w:val="00030B5D"/>
    <w:rsid w:val="00031471"/>
    <w:rsid w:val="000325E1"/>
    <w:rsid w:val="00034B83"/>
    <w:rsid w:val="000364C3"/>
    <w:rsid w:val="00036BB3"/>
    <w:rsid w:val="00040377"/>
    <w:rsid w:val="00042D9A"/>
    <w:rsid w:val="00043358"/>
    <w:rsid w:val="000479D5"/>
    <w:rsid w:val="00050BD6"/>
    <w:rsid w:val="00050E94"/>
    <w:rsid w:val="00051B59"/>
    <w:rsid w:val="0005584C"/>
    <w:rsid w:val="00057672"/>
    <w:rsid w:val="000661DA"/>
    <w:rsid w:val="00071151"/>
    <w:rsid w:val="000721D3"/>
    <w:rsid w:val="00074F47"/>
    <w:rsid w:val="00075E1E"/>
    <w:rsid w:val="00077FD9"/>
    <w:rsid w:val="0008343E"/>
    <w:rsid w:val="00083A87"/>
    <w:rsid w:val="00086BBB"/>
    <w:rsid w:val="00087CC0"/>
    <w:rsid w:val="00090377"/>
    <w:rsid w:val="00092C4D"/>
    <w:rsid w:val="00093D50"/>
    <w:rsid w:val="00094C3C"/>
    <w:rsid w:val="00095E08"/>
    <w:rsid w:val="000A00F2"/>
    <w:rsid w:val="000A20CA"/>
    <w:rsid w:val="000A6007"/>
    <w:rsid w:val="000A6544"/>
    <w:rsid w:val="000B0968"/>
    <w:rsid w:val="000B0F05"/>
    <w:rsid w:val="000B484C"/>
    <w:rsid w:val="000B56C1"/>
    <w:rsid w:val="000B7672"/>
    <w:rsid w:val="000B794A"/>
    <w:rsid w:val="000C22A9"/>
    <w:rsid w:val="000C3853"/>
    <w:rsid w:val="000C3A47"/>
    <w:rsid w:val="000C3EC0"/>
    <w:rsid w:val="000C6967"/>
    <w:rsid w:val="000D1708"/>
    <w:rsid w:val="000D1F2B"/>
    <w:rsid w:val="000D4650"/>
    <w:rsid w:val="000D5A53"/>
    <w:rsid w:val="000D5C0B"/>
    <w:rsid w:val="000D62A9"/>
    <w:rsid w:val="000E1EEF"/>
    <w:rsid w:val="000E2808"/>
    <w:rsid w:val="000E2845"/>
    <w:rsid w:val="000E28BE"/>
    <w:rsid w:val="000E5C42"/>
    <w:rsid w:val="000E6768"/>
    <w:rsid w:val="000F05D2"/>
    <w:rsid w:val="000F15CC"/>
    <w:rsid w:val="000F659C"/>
    <w:rsid w:val="000F6688"/>
    <w:rsid w:val="000F7D4D"/>
    <w:rsid w:val="00100B13"/>
    <w:rsid w:val="00101539"/>
    <w:rsid w:val="00104087"/>
    <w:rsid w:val="0010692E"/>
    <w:rsid w:val="001077F8"/>
    <w:rsid w:val="00110733"/>
    <w:rsid w:val="001119E7"/>
    <w:rsid w:val="00111F0E"/>
    <w:rsid w:val="00114096"/>
    <w:rsid w:val="00115242"/>
    <w:rsid w:val="001156E7"/>
    <w:rsid w:val="00116021"/>
    <w:rsid w:val="001162B9"/>
    <w:rsid w:val="0011671B"/>
    <w:rsid w:val="00117B80"/>
    <w:rsid w:val="001202FE"/>
    <w:rsid w:val="001207A0"/>
    <w:rsid w:val="00121151"/>
    <w:rsid w:val="00121799"/>
    <w:rsid w:val="00121A0B"/>
    <w:rsid w:val="00122FD3"/>
    <w:rsid w:val="00123A9D"/>
    <w:rsid w:val="00125DAF"/>
    <w:rsid w:val="00130DD3"/>
    <w:rsid w:val="0013333F"/>
    <w:rsid w:val="001367E1"/>
    <w:rsid w:val="00136986"/>
    <w:rsid w:val="0014173C"/>
    <w:rsid w:val="00141753"/>
    <w:rsid w:val="00142054"/>
    <w:rsid w:val="00143158"/>
    <w:rsid w:val="00144E42"/>
    <w:rsid w:val="001510FF"/>
    <w:rsid w:val="0015162B"/>
    <w:rsid w:val="00151DF1"/>
    <w:rsid w:val="00153491"/>
    <w:rsid w:val="001540FE"/>
    <w:rsid w:val="0015533E"/>
    <w:rsid w:val="00162372"/>
    <w:rsid w:val="001626DE"/>
    <w:rsid w:val="001719B4"/>
    <w:rsid w:val="00174647"/>
    <w:rsid w:val="00175053"/>
    <w:rsid w:val="00180499"/>
    <w:rsid w:val="00180B7A"/>
    <w:rsid w:val="00180DC3"/>
    <w:rsid w:val="0018141F"/>
    <w:rsid w:val="001832BB"/>
    <w:rsid w:val="00185C41"/>
    <w:rsid w:val="0018668E"/>
    <w:rsid w:val="001870A6"/>
    <w:rsid w:val="00191E03"/>
    <w:rsid w:val="00191FEF"/>
    <w:rsid w:val="00193350"/>
    <w:rsid w:val="00195B45"/>
    <w:rsid w:val="00195CDC"/>
    <w:rsid w:val="00196F91"/>
    <w:rsid w:val="001A21A3"/>
    <w:rsid w:val="001A4690"/>
    <w:rsid w:val="001A4720"/>
    <w:rsid w:val="001A4840"/>
    <w:rsid w:val="001A5F52"/>
    <w:rsid w:val="001A6E8E"/>
    <w:rsid w:val="001B1D57"/>
    <w:rsid w:val="001B28AB"/>
    <w:rsid w:val="001B71CD"/>
    <w:rsid w:val="001C3393"/>
    <w:rsid w:val="001C3C2B"/>
    <w:rsid w:val="001C52C7"/>
    <w:rsid w:val="001C7219"/>
    <w:rsid w:val="001C772F"/>
    <w:rsid w:val="001C7A24"/>
    <w:rsid w:val="001D0669"/>
    <w:rsid w:val="001D3477"/>
    <w:rsid w:val="001D39CC"/>
    <w:rsid w:val="001D55CC"/>
    <w:rsid w:val="001D5AA2"/>
    <w:rsid w:val="001D68E6"/>
    <w:rsid w:val="001E2E89"/>
    <w:rsid w:val="001E3F45"/>
    <w:rsid w:val="001E57DC"/>
    <w:rsid w:val="001F0A87"/>
    <w:rsid w:val="001F0F68"/>
    <w:rsid w:val="001F1CF3"/>
    <w:rsid w:val="001F2048"/>
    <w:rsid w:val="001F2652"/>
    <w:rsid w:val="002030F2"/>
    <w:rsid w:val="00203DB1"/>
    <w:rsid w:val="00206732"/>
    <w:rsid w:val="00207516"/>
    <w:rsid w:val="00207CD4"/>
    <w:rsid w:val="00207D4B"/>
    <w:rsid w:val="00211657"/>
    <w:rsid w:val="00213B61"/>
    <w:rsid w:val="00215F54"/>
    <w:rsid w:val="0021630D"/>
    <w:rsid w:val="00216DA7"/>
    <w:rsid w:val="002222B4"/>
    <w:rsid w:val="002227F5"/>
    <w:rsid w:val="00222875"/>
    <w:rsid w:val="0022394C"/>
    <w:rsid w:val="0023037E"/>
    <w:rsid w:val="00231EA3"/>
    <w:rsid w:val="00232345"/>
    <w:rsid w:val="002362F2"/>
    <w:rsid w:val="0023722A"/>
    <w:rsid w:val="00242633"/>
    <w:rsid w:val="00244AD4"/>
    <w:rsid w:val="00245211"/>
    <w:rsid w:val="002509B7"/>
    <w:rsid w:val="00251F7D"/>
    <w:rsid w:val="002522A6"/>
    <w:rsid w:val="002533F8"/>
    <w:rsid w:val="002536AA"/>
    <w:rsid w:val="002549E3"/>
    <w:rsid w:val="00254CEA"/>
    <w:rsid w:val="00255902"/>
    <w:rsid w:val="002563EC"/>
    <w:rsid w:val="002604F0"/>
    <w:rsid w:val="002623D0"/>
    <w:rsid w:val="002626D8"/>
    <w:rsid w:val="00262F5D"/>
    <w:rsid w:val="002638FA"/>
    <w:rsid w:val="00263DB5"/>
    <w:rsid w:val="0026410A"/>
    <w:rsid w:val="002718C8"/>
    <w:rsid w:val="00271A0A"/>
    <w:rsid w:val="002726B8"/>
    <w:rsid w:val="00275C91"/>
    <w:rsid w:val="00276164"/>
    <w:rsid w:val="00277027"/>
    <w:rsid w:val="0028083B"/>
    <w:rsid w:val="00285B48"/>
    <w:rsid w:val="0029067B"/>
    <w:rsid w:val="002912E7"/>
    <w:rsid w:val="00291B9B"/>
    <w:rsid w:val="002941B5"/>
    <w:rsid w:val="00294803"/>
    <w:rsid w:val="00294FF3"/>
    <w:rsid w:val="00297C6A"/>
    <w:rsid w:val="002A08A2"/>
    <w:rsid w:val="002A2865"/>
    <w:rsid w:val="002A2D72"/>
    <w:rsid w:val="002A3CE0"/>
    <w:rsid w:val="002A4245"/>
    <w:rsid w:val="002A50C7"/>
    <w:rsid w:val="002A741D"/>
    <w:rsid w:val="002B0227"/>
    <w:rsid w:val="002B039E"/>
    <w:rsid w:val="002B1DA7"/>
    <w:rsid w:val="002B3F49"/>
    <w:rsid w:val="002C1444"/>
    <w:rsid w:val="002C3548"/>
    <w:rsid w:val="002C5E47"/>
    <w:rsid w:val="002C7A85"/>
    <w:rsid w:val="002C7B6A"/>
    <w:rsid w:val="002D044E"/>
    <w:rsid w:val="002D2A66"/>
    <w:rsid w:val="002D2D09"/>
    <w:rsid w:val="002D3ECD"/>
    <w:rsid w:val="002D5FD7"/>
    <w:rsid w:val="002D6BEA"/>
    <w:rsid w:val="002E0323"/>
    <w:rsid w:val="002E0761"/>
    <w:rsid w:val="002E4C7C"/>
    <w:rsid w:val="002E547D"/>
    <w:rsid w:val="002E5BE7"/>
    <w:rsid w:val="002E5D16"/>
    <w:rsid w:val="002E65A2"/>
    <w:rsid w:val="002E724D"/>
    <w:rsid w:val="002E7AC2"/>
    <w:rsid w:val="002F0156"/>
    <w:rsid w:val="002F1538"/>
    <w:rsid w:val="002F6EAE"/>
    <w:rsid w:val="002F7169"/>
    <w:rsid w:val="00302C78"/>
    <w:rsid w:val="003032AE"/>
    <w:rsid w:val="00303BA8"/>
    <w:rsid w:val="00303E26"/>
    <w:rsid w:val="003040A6"/>
    <w:rsid w:val="003057C3"/>
    <w:rsid w:val="00307282"/>
    <w:rsid w:val="003102EF"/>
    <w:rsid w:val="00310CCF"/>
    <w:rsid w:val="00315759"/>
    <w:rsid w:val="00320392"/>
    <w:rsid w:val="00323EA8"/>
    <w:rsid w:val="00327CDF"/>
    <w:rsid w:val="00327EB1"/>
    <w:rsid w:val="00331294"/>
    <w:rsid w:val="0033295D"/>
    <w:rsid w:val="003354DA"/>
    <w:rsid w:val="0033554A"/>
    <w:rsid w:val="00335937"/>
    <w:rsid w:val="00335D8C"/>
    <w:rsid w:val="00336A0D"/>
    <w:rsid w:val="00336C17"/>
    <w:rsid w:val="00342685"/>
    <w:rsid w:val="00344AC6"/>
    <w:rsid w:val="00345C23"/>
    <w:rsid w:val="00346F0B"/>
    <w:rsid w:val="00351542"/>
    <w:rsid w:val="003520CE"/>
    <w:rsid w:val="00352605"/>
    <w:rsid w:val="003537F8"/>
    <w:rsid w:val="0035588B"/>
    <w:rsid w:val="00360EEE"/>
    <w:rsid w:val="00364FA9"/>
    <w:rsid w:val="0036514B"/>
    <w:rsid w:val="0036607D"/>
    <w:rsid w:val="00366519"/>
    <w:rsid w:val="00367C3E"/>
    <w:rsid w:val="00370F8E"/>
    <w:rsid w:val="003716E6"/>
    <w:rsid w:val="00372DE6"/>
    <w:rsid w:val="003768CD"/>
    <w:rsid w:val="003771CB"/>
    <w:rsid w:val="0037775D"/>
    <w:rsid w:val="00380795"/>
    <w:rsid w:val="003866CC"/>
    <w:rsid w:val="00386E22"/>
    <w:rsid w:val="003877CB"/>
    <w:rsid w:val="00390A96"/>
    <w:rsid w:val="0039531D"/>
    <w:rsid w:val="003A15E9"/>
    <w:rsid w:val="003A190D"/>
    <w:rsid w:val="003A2B6D"/>
    <w:rsid w:val="003A3671"/>
    <w:rsid w:val="003A52A8"/>
    <w:rsid w:val="003A544F"/>
    <w:rsid w:val="003B157C"/>
    <w:rsid w:val="003B4C10"/>
    <w:rsid w:val="003C4AB5"/>
    <w:rsid w:val="003C5377"/>
    <w:rsid w:val="003C64E5"/>
    <w:rsid w:val="003D3E13"/>
    <w:rsid w:val="003D44EE"/>
    <w:rsid w:val="003D4981"/>
    <w:rsid w:val="003D71EA"/>
    <w:rsid w:val="003E1570"/>
    <w:rsid w:val="003E19B0"/>
    <w:rsid w:val="003E3241"/>
    <w:rsid w:val="003E3805"/>
    <w:rsid w:val="003E3B61"/>
    <w:rsid w:val="003E5673"/>
    <w:rsid w:val="003E5C54"/>
    <w:rsid w:val="003E6636"/>
    <w:rsid w:val="003E7EE3"/>
    <w:rsid w:val="003F0505"/>
    <w:rsid w:val="003F1C32"/>
    <w:rsid w:val="003F3F36"/>
    <w:rsid w:val="00400384"/>
    <w:rsid w:val="00400B2A"/>
    <w:rsid w:val="0040130C"/>
    <w:rsid w:val="0040168F"/>
    <w:rsid w:val="00407BA1"/>
    <w:rsid w:val="00412D85"/>
    <w:rsid w:val="00417FDF"/>
    <w:rsid w:val="004226A0"/>
    <w:rsid w:val="00423498"/>
    <w:rsid w:val="00424335"/>
    <w:rsid w:val="004250AE"/>
    <w:rsid w:val="00425514"/>
    <w:rsid w:val="00430ACE"/>
    <w:rsid w:val="00431D69"/>
    <w:rsid w:val="0043350D"/>
    <w:rsid w:val="004351F7"/>
    <w:rsid w:val="00436A35"/>
    <w:rsid w:val="004370C7"/>
    <w:rsid w:val="00437221"/>
    <w:rsid w:val="00437EFB"/>
    <w:rsid w:val="00440E94"/>
    <w:rsid w:val="004426A9"/>
    <w:rsid w:val="004471DF"/>
    <w:rsid w:val="00450CE8"/>
    <w:rsid w:val="00451BFB"/>
    <w:rsid w:val="00452E3E"/>
    <w:rsid w:val="0045307A"/>
    <w:rsid w:val="00454A7B"/>
    <w:rsid w:val="00456A0E"/>
    <w:rsid w:val="00462921"/>
    <w:rsid w:val="00465632"/>
    <w:rsid w:val="004675D0"/>
    <w:rsid w:val="00467C82"/>
    <w:rsid w:val="0047184A"/>
    <w:rsid w:val="00472253"/>
    <w:rsid w:val="00472DB5"/>
    <w:rsid w:val="00473151"/>
    <w:rsid w:val="00474ADE"/>
    <w:rsid w:val="00475201"/>
    <w:rsid w:val="0047796E"/>
    <w:rsid w:val="00477A87"/>
    <w:rsid w:val="004806C4"/>
    <w:rsid w:val="00482172"/>
    <w:rsid w:val="0048235F"/>
    <w:rsid w:val="0048317D"/>
    <w:rsid w:val="00484380"/>
    <w:rsid w:val="004851A9"/>
    <w:rsid w:val="0049048D"/>
    <w:rsid w:val="004914D9"/>
    <w:rsid w:val="00493FFE"/>
    <w:rsid w:val="004944D1"/>
    <w:rsid w:val="00496525"/>
    <w:rsid w:val="00496684"/>
    <w:rsid w:val="00496D08"/>
    <w:rsid w:val="0049742E"/>
    <w:rsid w:val="004A2814"/>
    <w:rsid w:val="004A4A1A"/>
    <w:rsid w:val="004A5F7F"/>
    <w:rsid w:val="004A60B5"/>
    <w:rsid w:val="004A6EFA"/>
    <w:rsid w:val="004B07A1"/>
    <w:rsid w:val="004B3E9E"/>
    <w:rsid w:val="004B4D64"/>
    <w:rsid w:val="004C2B15"/>
    <w:rsid w:val="004C78B6"/>
    <w:rsid w:val="004D10E9"/>
    <w:rsid w:val="004D2534"/>
    <w:rsid w:val="004D3AD5"/>
    <w:rsid w:val="004D3CCE"/>
    <w:rsid w:val="004D5474"/>
    <w:rsid w:val="004E08E7"/>
    <w:rsid w:val="004E3149"/>
    <w:rsid w:val="004E4A52"/>
    <w:rsid w:val="004E4A99"/>
    <w:rsid w:val="004E5965"/>
    <w:rsid w:val="004E61A9"/>
    <w:rsid w:val="004F22C5"/>
    <w:rsid w:val="004F411A"/>
    <w:rsid w:val="004F4A77"/>
    <w:rsid w:val="004F652A"/>
    <w:rsid w:val="004F7981"/>
    <w:rsid w:val="005007CC"/>
    <w:rsid w:val="00502CBB"/>
    <w:rsid w:val="00503251"/>
    <w:rsid w:val="0050339E"/>
    <w:rsid w:val="00503B12"/>
    <w:rsid w:val="0050651F"/>
    <w:rsid w:val="00506E60"/>
    <w:rsid w:val="00511C8D"/>
    <w:rsid w:val="005136EA"/>
    <w:rsid w:val="00514403"/>
    <w:rsid w:val="00514822"/>
    <w:rsid w:val="00514A1E"/>
    <w:rsid w:val="005179B5"/>
    <w:rsid w:val="00521F0B"/>
    <w:rsid w:val="00522C1C"/>
    <w:rsid w:val="00525F66"/>
    <w:rsid w:val="00526A0B"/>
    <w:rsid w:val="005273D8"/>
    <w:rsid w:val="00527F60"/>
    <w:rsid w:val="00530645"/>
    <w:rsid w:val="005344DE"/>
    <w:rsid w:val="00534B31"/>
    <w:rsid w:val="00535020"/>
    <w:rsid w:val="0053533A"/>
    <w:rsid w:val="00536264"/>
    <w:rsid w:val="00541E98"/>
    <w:rsid w:val="005424EC"/>
    <w:rsid w:val="00544B9A"/>
    <w:rsid w:val="00545759"/>
    <w:rsid w:val="00547B02"/>
    <w:rsid w:val="005506C4"/>
    <w:rsid w:val="00552CEB"/>
    <w:rsid w:val="00552FC0"/>
    <w:rsid w:val="00553035"/>
    <w:rsid w:val="00554D4B"/>
    <w:rsid w:val="005553CA"/>
    <w:rsid w:val="00556097"/>
    <w:rsid w:val="005562C7"/>
    <w:rsid w:val="00557846"/>
    <w:rsid w:val="005632FC"/>
    <w:rsid w:val="00570B7E"/>
    <w:rsid w:val="005771DA"/>
    <w:rsid w:val="00583F20"/>
    <w:rsid w:val="0058632C"/>
    <w:rsid w:val="00590A15"/>
    <w:rsid w:val="00592D5F"/>
    <w:rsid w:val="00594883"/>
    <w:rsid w:val="00597388"/>
    <w:rsid w:val="005A0D78"/>
    <w:rsid w:val="005A1218"/>
    <w:rsid w:val="005A4C06"/>
    <w:rsid w:val="005A4F0C"/>
    <w:rsid w:val="005A50BB"/>
    <w:rsid w:val="005A567C"/>
    <w:rsid w:val="005A6934"/>
    <w:rsid w:val="005A7F25"/>
    <w:rsid w:val="005B052E"/>
    <w:rsid w:val="005B0BE0"/>
    <w:rsid w:val="005B17E9"/>
    <w:rsid w:val="005B307E"/>
    <w:rsid w:val="005B3E03"/>
    <w:rsid w:val="005B66DF"/>
    <w:rsid w:val="005B6B2D"/>
    <w:rsid w:val="005C0616"/>
    <w:rsid w:val="005C1D41"/>
    <w:rsid w:val="005C2308"/>
    <w:rsid w:val="005C286D"/>
    <w:rsid w:val="005C4229"/>
    <w:rsid w:val="005C6FC6"/>
    <w:rsid w:val="005C70BE"/>
    <w:rsid w:val="005D0740"/>
    <w:rsid w:val="005D3D19"/>
    <w:rsid w:val="005D4159"/>
    <w:rsid w:val="005D4704"/>
    <w:rsid w:val="005D6094"/>
    <w:rsid w:val="005D634E"/>
    <w:rsid w:val="005E1C31"/>
    <w:rsid w:val="005E2C32"/>
    <w:rsid w:val="005E30C0"/>
    <w:rsid w:val="005E3EE0"/>
    <w:rsid w:val="005E537A"/>
    <w:rsid w:val="005E6215"/>
    <w:rsid w:val="005E6835"/>
    <w:rsid w:val="005E6953"/>
    <w:rsid w:val="005E756A"/>
    <w:rsid w:val="005F0278"/>
    <w:rsid w:val="005F042F"/>
    <w:rsid w:val="005F0B46"/>
    <w:rsid w:val="005F1299"/>
    <w:rsid w:val="005F1E62"/>
    <w:rsid w:val="005F4321"/>
    <w:rsid w:val="005F463D"/>
    <w:rsid w:val="005F5A17"/>
    <w:rsid w:val="005F65A1"/>
    <w:rsid w:val="005F7167"/>
    <w:rsid w:val="00601977"/>
    <w:rsid w:val="00603F44"/>
    <w:rsid w:val="00604702"/>
    <w:rsid w:val="00605029"/>
    <w:rsid w:val="00605186"/>
    <w:rsid w:val="00605E9D"/>
    <w:rsid w:val="00613454"/>
    <w:rsid w:val="006160AA"/>
    <w:rsid w:val="00621ADF"/>
    <w:rsid w:val="00625164"/>
    <w:rsid w:val="00626F91"/>
    <w:rsid w:val="006270B9"/>
    <w:rsid w:val="006273E9"/>
    <w:rsid w:val="0063034B"/>
    <w:rsid w:val="006310A6"/>
    <w:rsid w:val="00632F44"/>
    <w:rsid w:val="00634B04"/>
    <w:rsid w:val="006350FF"/>
    <w:rsid w:val="00641CC6"/>
    <w:rsid w:val="00641F9C"/>
    <w:rsid w:val="00643105"/>
    <w:rsid w:val="0064481C"/>
    <w:rsid w:val="00644C2A"/>
    <w:rsid w:val="00644E02"/>
    <w:rsid w:val="00646E26"/>
    <w:rsid w:val="00647E14"/>
    <w:rsid w:val="00647F32"/>
    <w:rsid w:val="00654B3F"/>
    <w:rsid w:val="00655BC0"/>
    <w:rsid w:val="006564AD"/>
    <w:rsid w:val="006604F7"/>
    <w:rsid w:val="00660A62"/>
    <w:rsid w:val="00662711"/>
    <w:rsid w:val="00663BF9"/>
    <w:rsid w:val="00664535"/>
    <w:rsid w:val="0066511D"/>
    <w:rsid w:val="00665AA3"/>
    <w:rsid w:val="00667220"/>
    <w:rsid w:val="0067065F"/>
    <w:rsid w:val="00671632"/>
    <w:rsid w:val="00671740"/>
    <w:rsid w:val="006723B5"/>
    <w:rsid w:val="00674C80"/>
    <w:rsid w:val="00675690"/>
    <w:rsid w:val="00676183"/>
    <w:rsid w:val="006776AF"/>
    <w:rsid w:val="00677DE4"/>
    <w:rsid w:val="00684046"/>
    <w:rsid w:val="00684722"/>
    <w:rsid w:val="006871DB"/>
    <w:rsid w:val="006876D1"/>
    <w:rsid w:val="00687823"/>
    <w:rsid w:val="00694903"/>
    <w:rsid w:val="00696027"/>
    <w:rsid w:val="00697D38"/>
    <w:rsid w:val="006A4069"/>
    <w:rsid w:val="006A5089"/>
    <w:rsid w:val="006A5499"/>
    <w:rsid w:val="006A6497"/>
    <w:rsid w:val="006A6753"/>
    <w:rsid w:val="006A6857"/>
    <w:rsid w:val="006A693E"/>
    <w:rsid w:val="006A7801"/>
    <w:rsid w:val="006B081D"/>
    <w:rsid w:val="006B14B3"/>
    <w:rsid w:val="006B1A31"/>
    <w:rsid w:val="006B4CB5"/>
    <w:rsid w:val="006B7D16"/>
    <w:rsid w:val="006C0E91"/>
    <w:rsid w:val="006C2241"/>
    <w:rsid w:val="006C63D1"/>
    <w:rsid w:val="006C6DDD"/>
    <w:rsid w:val="006D1B89"/>
    <w:rsid w:val="006D56AB"/>
    <w:rsid w:val="006D56AF"/>
    <w:rsid w:val="006E11E6"/>
    <w:rsid w:val="006E4017"/>
    <w:rsid w:val="006E44E0"/>
    <w:rsid w:val="006E51D6"/>
    <w:rsid w:val="006E6258"/>
    <w:rsid w:val="006E6317"/>
    <w:rsid w:val="006E6694"/>
    <w:rsid w:val="006E71A2"/>
    <w:rsid w:val="006E77F3"/>
    <w:rsid w:val="006E7A90"/>
    <w:rsid w:val="006F0A6B"/>
    <w:rsid w:val="006F51B4"/>
    <w:rsid w:val="006F5962"/>
    <w:rsid w:val="0070207C"/>
    <w:rsid w:val="007031F3"/>
    <w:rsid w:val="007035AA"/>
    <w:rsid w:val="00705D34"/>
    <w:rsid w:val="007060C8"/>
    <w:rsid w:val="00706616"/>
    <w:rsid w:val="007069B6"/>
    <w:rsid w:val="00707D0B"/>
    <w:rsid w:val="007105C9"/>
    <w:rsid w:val="0071285E"/>
    <w:rsid w:val="007132A7"/>
    <w:rsid w:val="007143A0"/>
    <w:rsid w:val="00714BC6"/>
    <w:rsid w:val="00714FE3"/>
    <w:rsid w:val="00715EAC"/>
    <w:rsid w:val="00717A72"/>
    <w:rsid w:val="00720C65"/>
    <w:rsid w:val="00723334"/>
    <w:rsid w:val="00724B7C"/>
    <w:rsid w:val="007269A9"/>
    <w:rsid w:val="00732995"/>
    <w:rsid w:val="0073487C"/>
    <w:rsid w:val="00734EAB"/>
    <w:rsid w:val="007367E8"/>
    <w:rsid w:val="007470AA"/>
    <w:rsid w:val="00750FEE"/>
    <w:rsid w:val="00752A0F"/>
    <w:rsid w:val="00754D9D"/>
    <w:rsid w:val="00755A2F"/>
    <w:rsid w:val="00761B35"/>
    <w:rsid w:val="00761BEF"/>
    <w:rsid w:val="00762E53"/>
    <w:rsid w:val="007636A3"/>
    <w:rsid w:val="007659E2"/>
    <w:rsid w:val="00766885"/>
    <w:rsid w:val="00770194"/>
    <w:rsid w:val="00770846"/>
    <w:rsid w:val="00772BB7"/>
    <w:rsid w:val="0077561B"/>
    <w:rsid w:val="00775A7B"/>
    <w:rsid w:val="007816C6"/>
    <w:rsid w:val="00781AB5"/>
    <w:rsid w:val="00783657"/>
    <w:rsid w:val="007838EA"/>
    <w:rsid w:val="0078417B"/>
    <w:rsid w:val="007844DF"/>
    <w:rsid w:val="00784955"/>
    <w:rsid w:val="00784F91"/>
    <w:rsid w:val="00785721"/>
    <w:rsid w:val="007905BD"/>
    <w:rsid w:val="007954F5"/>
    <w:rsid w:val="00796491"/>
    <w:rsid w:val="007970F8"/>
    <w:rsid w:val="007978A3"/>
    <w:rsid w:val="00797B3A"/>
    <w:rsid w:val="007A3BE0"/>
    <w:rsid w:val="007A3E6A"/>
    <w:rsid w:val="007A4DC2"/>
    <w:rsid w:val="007A620C"/>
    <w:rsid w:val="007B77CB"/>
    <w:rsid w:val="007C12DA"/>
    <w:rsid w:val="007C29DC"/>
    <w:rsid w:val="007C3C7B"/>
    <w:rsid w:val="007C5094"/>
    <w:rsid w:val="007C6A7A"/>
    <w:rsid w:val="007C721D"/>
    <w:rsid w:val="007D512F"/>
    <w:rsid w:val="007D59BF"/>
    <w:rsid w:val="007D5D21"/>
    <w:rsid w:val="007E15CE"/>
    <w:rsid w:val="007E2FB6"/>
    <w:rsid w:val="007F0858"/>
    <w:rsid w:val="007F382A"/>
    <w:rsid w:val="007F399C"/>
    <w:rsid w:val="0080251B"/>
    <w:rsid w:val="00804499"/>
    <w:rsid w:val="00805F26"/>
    <w:rsid w:val="00807BBB"/>
    <w:rsid w:val="00817523"/>
    <w:rsid w:val="00820644"/>
    <w:rsid w:val="00823762"/>
    <w:rsid w:val="00825F4E"/>
    <w:rsid w:val="00827816"/>
    <w:rsid w:val="00830699"/>
    <w:rsid w:val="008327BC"/>
    <w:rsid w:val="00835028"/>
    <w:rsid w:val="00835E10"/>
    <w:rsid w:val="0083770D"/>
    <w:rsid w:val="00837D7F"/>
    <w:rsid w:val="00840885"/>
    <w:rsid w:val="00843118"/>
    <w:rsid w:val="00845F18"/>
    <w:rsid w:val="008475DA"/>
    <w:rsid w:val="00851259"/>
    <w:rsid w:val="0085334C"/>
    <w:rsid w:val="00853826"/>
    <w:rsid w:val="00853C8A"/>
    <w:rsid w:val="00856433"/>
    <w:rsid w:val="00856B4E"/>
    <w:rsid w:val="0085777B"/>
    <w:rsid w:val="00862F88"/>
    <w:rsid w:val="0086581C"/>
    <w:rsid w:val="00867C9D"/>
    <w:rsid w:val="00872A60"/>
    <w:rsid w:val="008738BE"/>
    <w:rsid w:val="00875307"/>
    <w:rsid w:val="00877814"/>
    <w:rsid w:val="00881DA8"/>
    <w:rsid w:val="00882ED2"/>
    <w:rsid w:val="008831E3"/>
    <w:rsid w:val="00883DAD"/>
    <w:rsid w:val="00884F3E"/>
    <w:rsid w:val="00885436"/>
    <w:rsid w:val="00886286"/>
    <w:rsid w:val="008869F5"/>
    <w:rsid w:val="00886D89"/>
    <w:rsid w:val="00887A11"/>
    <w:rsid w:val="008913CB"/>
    <w:rsid w:val="00892266"/>
    <w:rsid w:val="00893509"/>
    <w:rsid w:val="00893D14"/>
    <w:rsid w:val="008A64D8"/>
    <w:rsid w:val="008A6D97"/>
    <w:rsid w:val="008B0EEB"/>
    <w:rsid w:val="008B13A0"/>
    <w:rsid w:val="008B4F4A"/>
    <w:rsid w:val="008C0229"/>
    <w:rsid w:val="008C0906"/>
    <w:rsid w:val="008C09F8"/>
    <w:rsid w:val="008C1209"/>
    <w:rsid w:val="008C3C59"/>
    <w:rsid w:val="008D6373"/>
    <w:rsid w:val="008D709D"/>
    <w:rsid w:val="008E4D74"/>
    <w:rsid w:val="008E5D5D"/>
    <w:rsid w:val="008F0943"/>
    <w:rsid w:val="008F2496"/>
    <w:rsid w:val="008F3E25"/>
    <w:rsid w:val="008F5F13"/>
    <w:rsid w:val="008F6B76"/>
    <w:rsid w:val="0090060B"/>
    <w:rsid w:val="00900C31"/>
    <w:rsid w:val="00900E1B"/>
    <w:rsid w:val="00902458"/>
    <w:rsid w:val="0091267A"/>
    <w:rsid w:val="00912BEA"/>
    <w:rsid w:val="00917302"/>
    <w:rsid w:val="00925E3F"/>
    <w:rsid w:val="0092773B"/>
    <w:rsid w:val="00927A09"/>
    <w:rsid w:val="009312B8"/>
    <w:rsid w:val="00932ED2"/>
    <w:rsid w:val="009346E3"/>
    <w:rsid w:val="00934776"/>
    <w:rsid w:val="00934B70"/>
    <w:rsid w:val="00934D6C"/>
    <w:rsid w:val="0093644B"/>
    <w:rsid w:val="00940681"/>
    <w:rsid w:val="00940696"/>
    <w:rsid w:val="00940E41"/>
    <w:rsid w:val="0094145A"/>
    <w:rsid w:val="009414B4"/>
    <w:rsid w:val="00941AE5"/>
    <w:rsid w:val="00942370"/>
    <w:rsid w:val="00942AA6"/>
    <w:rsid w:val="00951B2B"/>
    <w:rsid w:val="0095304F"/>
    <w:rsid w:val="00953CC1"/>
    <w:rsid w:val="00954C3B"/>
    <w:rsid w:val="00955776"/>
    <w:rsid w:val="00960F08"/>
    <w:rsid w:val="00961D60"/>
    <w:rsid w:val="00961D81"/>
    <w:rsid w:val="0096217F"/>
    <w:rsid w:val="00962D33"/>
    <w:rsid w:val="0096455A"/>
    <w:rsid w:val="00967D4F"/>
    <w:rsid w:val="009710C8"/>
    <w:rsid w:val="009739FF"/>
    <w:rsid w:val="0097452F"/>
    <w:rsid w:val="00974B7D"/>
    <w:rsid w:val="009776FB"/>
    <w:rsid w:val="0097791C"/>
    <w:rsid w:val="00980384"/>
    <w:rsid w:val="00980BED"/>
    <w:rsid w:val="009856F6"/>
    <w:rsid w:val="009864E4"/>
    <w:rsid w:val="00991831"/>
    <w:rsid w:val="00995191"/>
    <w:rsid w:val="00995D33"/>
    <w:rsid w:val="00995EBD"/>
    <w:rsid w:val="0099746A"/>
    <w:rsid w:val="00997BA2"/>
    <w:rsid w:val="00997C60"/>
    <w:rsid w:val="00997CA9"/>
    <w:rsid w:val="009A0B93"/>
    <w:rsid w:val="009A283B"/>
    <w:rsid w:val="009A2BCD"/>
    <w:rsid w:val="009A3BFC"/>
    <w:rsid w:val="009A4C74"/>
    <w:rsid w:val="009A534C"/>
    <w:rsid w:val="009A5481"/>
    <w:rsid w:val="009A61AA"/>
    <w:rsid w:val="009B195F"/>
    <w:rsid w:val="009B31A3"/>
    <w:rsid w:val="009B6F7A"/>
    <w:rsid w:val="009B7AD6"/>
    <w:rsid w:val="009B7AEE"/>
    <w:rsid w:val="009C0094"/>
    <w:rsid w:val="009D2A10"/>
    <w:rsid w:val="009D391A"/>
    <w:rsid w:val="009D3E4B"/>
    <w:rsid w:val="009D433D"/>
    <w:rsid w:val="009D486F"/>
    <w:rsid w:val="009D76BA"/>
    <w:rsid w:val="009E13AE"/>
    <w:rsid w:val="009E1D7A"/>
    <w:rsid w:val="009E358F"/>
    <w:rsid w:val="009E4104"/>
    <w:rsid w:val="009E4791"/>
    <w:rsid w:val="009E4E97"/>
    <w:rsid w:val="009E521D"/>
    <w:rsid w:val="009E670C"/>
    <w:rsid w:val="009F0A37"/>
    <w:rsid w:val="009F1C08"/>
    <w:rsid w:val="009F61AA"/>
    <w:rsid w:val="009F7880"/>
    <w:rsid w:val="009F7C38"/>
    <w:rsid w:val="009F7EB2"/>
    <w:rsid w:val="00A00382"/>
    <w:rsid w:val="00A0120E"/>
    <w:rsid w:val="00A01665"/>
    <w:rsid w:val="00A02507"/>
    <w:rsid w:val="00A02A1E"/>
    <w:rsid w:val="00A036FA"/>
    <w:rsid w:val="00A10680"/>
    <w:rsid w:val="00A1502D"/>
    <w:rsid w:val="00A15E34"/>
    <w:rsid w:val="00A16E63"/>
    <w:rsid w:val="00A174E6"/>
    <w:rsid w:val="00A2147A"/>
    <w:rsid w:val="00A23210"/>
    <w:rsid w:val="00A233DF"/>
    <w:rsid w:val="00A248AC"/>
    <w:rsid w:val="00A248FC"/>
    <w:rsid w:val="00A250BF"/>
    <w:rsid w:val="00A3068E"/>
    <w:rsid w:val="00A32FCA"/>
    <w:rsid w:val="00A3782D"/>
    <w:rsid w:val="00A40EE3"/>
    <w:rsid w:val="00A40F6A"/>
    <w:rsid w:val="00A411B4"/>
    <w:rsid w:val="00A4122B"/>
    <w:rsid w:val="00A42026"/>
    <w:rsid w:val="00A428B0"/>
    <w:rsid w:val="00A46B3E"/>
    <w:rsid w:val="00A52BE3"/>
    <w:rsid w:val="00A54079"/>
    <w:rsid w:val="00A547C9"/>
    <w:rsid w:val="00A640EA"/>
    <w:rsid w:val="00A66737"/>
    <w:rsid w:val="00A67DD2"/>
    <w:rsid w:val="00A72148"/>
    <w:rsid w:val="00A72F52"/>
    <w:rsid w:val="00A74DEE"/>
    <w:rsid w:val="00A84E83"/>
    <w:rsid w:val="00A86B4E"/>
    <w:rsid w:val="00A86C4B"/>
    <w:rsid w:val="00A87348"/>
    <w:rsid w:val="00A92176"/>
    <w:rsid w:val="00A93D2C"/>
    <w:rsid w:val="00A95B9F"/>
    <w:rsid w:val="00A95C9B"/>
    <w:rsid w:val="00AA069B"/>
    <w:rsid w:val="00AA3DCA"/>
    <w:rsid w:val="00AA49B0"/>
    <w:rsid w:val="00AB08BA"/>
    <w:rsid w:val="00AB0E52"/>
    <w:rsid w:val="00AB248A"/>
    <w:rsid w:val="00AB271A"/>
    <w:rsid w:val="00AC1761"/>
    <w:rsid w:val="00AC1AEA"/>
    <w:rsid w:val="00AC21B4"/>
    <w:rsid w:val="00AC5474"/>
    <w:rsid w:val="00AC6E96"/>
    <w:rsid w:val="00AC72FE"/>
    <w:rsid w:val="00AD1B5E"/>
    <w:rsid w:val="00AD2779"/>
    <w:rsid w:val="00AD2CEE"/>
    <w:rsid w:val="00AD4AFD"/>
    <w:rsid w:val="00AD6A4C"/>
    <w:rsid w:val="00AD7BDA"/>
    <w:rsid w:val="00AE060C"/>
    <w:rsid w:val="00AE063D"/>
    <w:rsid w:val="00AE0CBB"/>
    <w:rsid w:val="00AE4862"/>
    <w:rsid w:val="00AF0049"/>
    <w:rsid w:val="00AF4164"/>
    <w:rsid w:val="00AF5573"/>
    <w:rsid w:val="00B03487"/>
    <w:rsid w:val="00B03E0C"/>
    <w:rsid w:val="00B04F10"/>
    <w:rsid w:val="00B05244"/>
    <w:rsid w:val="00B05C15"/>
    <w:rsid w:val="00B0642D"/>
    <w:rsid w:val="00B114DA"/>
    <w:rsid w:val="00B15F12"/>
    <w:rsid w:val="00B20E11"/>
    <w:rsid w:val="00B21B7F"/>
    <w:rsid w:val="00B221D2"/>
    <w:rsid w:val="00B24E0D"/>
    <w:rsid w:val="00B25184"/>
    <w:rsid w:val="00B2788D"/>
    <w:rsid w:val="00B27C91"/>
    <w:rsid w:val="00B32143"/>
    <w:rsid w:val="00B32975"/>
    <w:rsid w:val="00B32B11"/>
    <w:rsid w:val="00B33235"/>
    <w:rsid w:val="00B33D30"/>
    <w:rsid w:val="00B35611"/>
    <w:rsid w:val="00B36DE6"/>
    <w:rsid w:val="00B406AE"/>
    <w:rsid w:val="00B41213"/>
    <w:rsid w:val="00B42FA9"/>
    <w:rsid w:val="00B4325B"/>
    <w:rsid w:val="00B45F92"/>
    <w:rsid w:val="00B47615"/>
    <w:rsid w:val="00B517E8"/>
    <w:rsid w:val="00B57489"/>
    <w:rsid w:val="00B60825"/>
    <w:rsid w:val="00B638C3"/>
    <w:rsid w:val="00B66CAD"/>
    <w:rsid w:val="00B7322F"/>
    <w:rsid w:val="00B7460D"/>
    <w:rsid w:val="00B751FD"/>
    <w:rsid w:val="00B75951"/>
    <w:rsid w:val="00B7644A"/>
    <w:rsid w:val="00B80D88"/>
    <w:rsid w:val="00B821AD"/>
    <w:rsid w:val="00B83F0A"/>
    <w:rsid w:val="00B84B76"/>
    <w:rsid w:val="00B850A9"/>
    <w:rsid w:val="00B86334"/>
    <w:rsid w:val="00B86BC0"/>
    <w:rsid w:val="00B902B5"/>
    <w:rsid w:val="00B941A9"/>
    <w:rsid w:val="00B950D5"/>
    <w:rsid w:val="00B96668"/>
    <w:rsid w:val="00BA0D1E"/>
    <w:rsid w:val="00BA14E1"/>
    <w:rsid w:val="00BA2878"/>
    <w:rsid w:val="00BA3457"/>
    <w:rsid w:val="00BA34C1"/>
    <w:rsid w:val="00BA608C"/>
    <w:rsid w:val="00BB483F"/>
    <w:rsid w:val="00BB4858"/>
    <w:rsid w:val="00BB5151"/>
    <w:rsid w:val="00BB578C"/>
    <w:rsid w:val="00BB7229"/>
    <w:rsid w:val="00BC0363"/>
    <w:rsid w:val="00BC0B22"/>
    <w:rsid w:val="00BC1677"/>
    <w:rsid w:val="00BC2B28"/>
    <w:rsid w:val="00BC6F4D"/>
    <w:rsid w:val="00BD1AFB"/>
    <w:rsid w:val="00BD226F"/>
    <w:rsid w:val="00BD3C81"/>
    <w:rsid w:val="00BE2546"/>
    <w:rsid w:val="00BE2AFB"/>
    <w:rsid w:val="00BF22E5"/>
    <w:rsid w:val="00BF411B"/>
    <w:rsid w:val="00BF55D0"/>
    <w:rsid w:val="00BF5622"/>
    <w:rsid w:val="00BF75EE"/>
    <w:rsid w:val="00C02A8B"/>
    <w:rsid w:val="00C02C1C"/>
    <w:rsid w:val="00C030F4"/>
    <w:rsid w:val="00C03734"/>
    <w:rsid w:val="00C055B8"/>
    <w:rsid w:val="00C07EAB"/>
    <w:rsid w:val="00C101F1"/>
    <w:rsid w:val="00C11408"/>
    <w:rsid w:val="00C11D6F"/>
    <w:rsid w:val="00C138AC"/>
    <w:rsid w:val="00C13CC9"/>
    <w:rsid w:val="00C1425C"/>
    <w:rsid w:val="00C14529"/>
    <w:rsid w:val="00C1502C"/>
    <w:rsid w:val="00C20E2B"/>
    <w:rsid w:val="00C21F8D"/>
    <w:rsid w:val="00C23B8B"/>
    <w:rsid w:val="00C25DBA"/>
    <w:rsid w:val="00C26F22"/>
    <w:rsid w:val="00C27461"/>
    <w:rsid w:val="00C2799A"/>
    <w:rsid w:val="00C30AE1"/>
    <w:rsid w:val="00C310D5"/>
    <w:rsid w:val="00C31B9B"/>
    <w:rsid w:val="00C3557D"/>
    <w:rsid w:val="00C3776A"/>
    <w:rsid w:val="00C37937"/>
    <w:rsid w:val="00C379EE"/>
    <w:rsid w:val="00C37AB7"/>
    <w:rsid w:val="00C403E4"/>
    <w:rsid w:val="00C41CB4"/>
    <w:rsid w:val="00C41F06"/>
    <w:rsid w:val="00C429BF"/>
    <w:rsid w:val="00C43FB3"/>
    <w:rsid w:val="00C47BFF"/>
    <w:rsid w:val="00C51060"/>
    <w:rsid w:val="00C526A7"/>
    <w:rsid w:val="00C5612E"/>
    <w:rsid w:val="00C60183"/>
    <w:rsid w:val="00C6030D"/>
    <w:rsid w:val="00C61F50"/>
    <w:rsid w:val="00C639B0"/>
    <w:rsid w:val="00C65FBB"/>
    <w:rsid w:val="00C6622F"/>
    <w:rsid w:val="00C6797A"/>
    <w:rsid w:val="00C70DB6"/>
    <w:rsid w:val="00C86BCF"/>
    <w:rsid w:val="00C86E4E"/>
    <w:rsid w:val="00C9053B"/>
    <w:rsid w:val="00C90831"/>
    <w:rsid w:val="00C92497"/>
    <w:rsid w:val="00C935AC"/>
    <w:rsid w:val="00C95F7B"/>
    <w:rsid w:val="00C96B81"/>
    <w:rsid w:val="00CA59B1"/>
    <w:rsid w:val="00CB1845"/>
    <w:rsid w:val="00CB3B43"/>
    <w:rsid w:val="00CB4621"/>
    <w:rsid w:val="00CB495F"/>
    <w:rsid w:val="00CB54D4"/>
    <w:rsid w:val="00CB5F1B"/>
    <w:rsid w:val="00CB655D"/>
    <w:rsid w:val="00CB725F"/>
    <w:rsid w:val="00CB79F7"/>
    <w:rsid w:val="00CC2328"/>
    <w:rsid w:val="00CC54BD"/>
    <w:rsid w:val="00CD02BD"/>
    <w:rsid w:val="00CD227C"/>
    <w:rsid w:val="00CD454F"/>
    <w:rsid w:val="00CD7727"/>
    <w:rsid w:val="00CD7F84"/>
    <w:rsid w:val="00CE0EDB"/>
    <w:rsid w:val="00CE30EF"/>
    <w:rsid w:val="00CE358F"/>
    <w:rsid w:val="00CE493C"/>
    <w:rsid w:val="00CE6C13"/>
    <w:rsid w:val="00CE6C98"/>
    <w:rsid w:val="00CF0BC0"/>
    <w:rsid w:val="00CF0EF1"/>
    <w:rsid w:val="00CF3764"/>
    <w:rsid w:val="00CF4A56"/>
    <w:rsid w:val="00CF4DED"/>
    <w:rsid w:val="00D02294"/>
    <w:rsid w:val="00D03672"/>
    <w:rsid w:val="00D038D9"/>
    <w:rsid w:val="00D04269"/>
    <w:rsid w:val="00D10C69"/>
    <w:rsid w:val="00D11D6A"/>
    <w:rsid w:val="00D11F25"/>
    <w:rsid w:val="00D14A3F"/>
    <w:rsid w:val="00D16CB3"/>
    <w:rsid w:val="00D31A96"/>
    <w:rsid w:val="00D332E2"/>
    <w:rsid w:val="00D333F5"/>
    <w:rsid w:val="00D35311"/>
    <w:rsid w:val="00D35BE0"/>
    <w:rsid w:val="00D40D83"/>
    <w:rsid w:val="00D445C6"/>
    <w:rsid w:val="00D4720D"/>
    <w:rsid w:val="00D553B8"/>
    <w:rsid w:val="00D60358"/>
    <w:rsid w:val="00D63382"/>
    <w:rsid w:val="00D67B0C"/>
    <w:rsid w:val="00D71C9C"/>
    <w:rsid w:val="00D734E4"/>
    <w:rsid w:val="00D73958"/>
    <w:rsid w:val="00D754EC"/>
    <w:rsid w:val="00D756DC"/>
    <w:rsid w:val="00D81602"/>
    <w:rsid w:val="00D81CF9"/>
    <w:rsid w:val="00D83744"/>
    <w:rsid w:val="00D85572"/>
    <w:rsid w:val="00D86C6B"/>
    <w:rsid w:val="00D87283"/>
    <w:rsid w:val="00D90C82"/>
    <w:rsid w:val="00D93E9D"/>
    <w:rsid w:val="00D94951"/>
    <w:rsid w:val="00D95727"/>
    <w:rsid w:val="00D95E42"/>
    <w:rsid w:val="00D97839"/>
    <w:rsid w:val="00DA0A1D"/>
    <w:rsid w:val="00DA15EC"/>
    <w:rsid w:val="00DA4847"/>
    <w:rsid w:val="00DA6DB3"/>
    <w:rsid w:val="00DB15C1"/>
    <w:rsid w:val="00DB174D"/>
    <w:rsid w:val="00DB62F7"/>
    <w:rsid w:val="00DB6CF9"/>
    <w:rsid w:val="00DB6E07"/>
    <w:rsid w:val="00DB6E45"/>
    <w:rsid w:val="00DC483D"/>
    <w:rsid w:val="00DC5144"/>
    <w:rsid w:val="00DC68D9"/>
    <w:rsid w:val="00DD169C"/>
    <w:rsid w:val="00DD2E03"/>
    <w:rsid w:val="00DD2F67"/>
    <w:rsid w:val="00DD4080"/>
    <w:rsid w:val="00DD498A"/>
    <w:rsid w:val="00DE18BA"/>
    <w:rsid w:val="00DE2A7A"/>
    <w:rsid w:val="00DE3284"/>
    <w:rsid w:val="00DE3945"/>
    <w:rsid w:val="00DF1028"/>
    <w:rsid w:val="00DF117B"/>
    <w:rsid w:val="00DF1281"/>
    <w:rsid w:val="00DF2C77"/>
    <w:rsid w:val="00DF3F51"/>
    <w:rsid w:val="00E01EFD"/>
    <w:rsid w:val="00E03D1C"/>
    <w:rsid w:val="00E04143"/>
    <w:rsid w:val="00E060D6"/>
    <w:rsid w:val="00E066C0"/>
    <w:rsid w:val="00E07E6F"/>
    <w:rsid w:val="00E146B1"/>
    <w:rsid w:val="00E17F3C"/>
    <w:rsid w:val="00E21FEE"/>
    <w:rsid w:val="00E23658"/>
    <w:rsid w:val="00E25357"/>
    <w:rsid w:val="00E2794B"/>
    <w:rsid w:val="00E27F8E"/>
    <w:rsid w:val="00E31584"/>
    <w:rsid w:val="00E31672"/>
    <w:rsid w:val="00E326AC"/>
    <w:rsid w:val="00E32F56"/>
    <w:rsid w:val="00E35284"/>
    <w:rsid w:val="00E35375"/>
    <w:rsid w:val="00E35AEF"/>
    <w:rsid w:val="00E413CA"/>
    <w:rsid w:val="00E419D4"/>
    <w:rsid w:val="00E45574"/>
    <w:rsid w:val="00E471C8"/>
    <w:rsid w:val="00E51067"/>
    <w:rsid w:val="00E52701"/>
    <w:rsid w:val="00E5600D"/>
    <w:rsid w:val="00E57147"/>
    <w:rsid w:val="00E62E1F"/>
    <w:rsid w:val="00E63637"/>
    <w:rsid w:val="00E638C4"/>
    <w:rsid w:val="00E640ED"/>
    <w:rsid w:val="00E669DA"/>
    <w:rsid w:val="00E6703C"/>
    <w:rsid w:val="00E677D3"/>
    <w:rsid w:val="00E71EC0"/>
    <w:rsid w:val="00E72F9B"/>
    <w:rsid w:val="00E74CB1"/>
    <w:rsid w:val="00E75C09"/>
    <w:rsid w:val="00E76252"/>
    <w:rsid w:val="00E765BB"/>
    <w:rsid w:val="00E775AD"/>
    <w:rsid w:val="00E8157B"/>
    <w:rsid w:val="00E8228C"/>
    <w:rsid w:val="00E86121"/>
    <w:rsid w:val="00E8682B"/>
    <w:rsid w:val="00E86FEB"/>
    <w:rsid w:val="00E93B66"/>
    <w:rsid w:val="00E9579B"/>
    <w:rsid w:val="00E964C1"/>
    <w:rsid w:val="00EA2454"/>
    <w:rsid w:val="00EA3676"/>
    <w:rsid w:val="00EB2A3F"/>
    <w:rsid w:val="00EB3C2A"/>
    <w:rsid w:val="00EB6CD0"/>
    <w:rsid w:val="00EB7435"/>
    <w:rsid w:val="00EC276C"/>
    <w:rsid w:val="00EC339A"/>
    <w:rsid w:val="00EC3617"/>
    <w:rsid w:val="00EC4F20"/>
    <w:rsid w:val="00EC5A17"/>
    <w:rsid w:val="00EC7EEA"/>
    <w:rsid w:val="00ED182B"/>
    <w:rsid w:val="00ED239B"/>
    <w:rsid w:val="00ED28C8"/>
    <w:rsid w:val="00ED4D75"/>
    <w:rsid w:val="00ED5C55"/>
    <w:rsid w:val="00ED6DDE"/>
    <w:rsid w:val="00EE20B1"/>
    <w:rsid w:val="00EE3050"/>
    <w:rsid w:val="00EE46DF"/>
    <w:rsid w:val="00EE586D"/>
    <w:rsid w:val="00EF0827"/>
    <w:rsid w:val="00EF2492"/>
    <w:rsid w:val="00EF489A"/>
    <w:rsid w:val="00F02B47"/>
    <w:rsid w:val="00F04027"/>
    <w:rsid w:val="00F054E0"/>
    <w:rsid w:val="00F127A6"/>
    <w:rsid w:val="00F12B2B"/>
    <w:rsid w:val="00F14853"/>
    <w:rsid w:val="00F211F1"/>
    <w:rsid w:val="00F33F9E"/>
    <w:rsid w:val="00F34228"/>
    <w:rsid w:val="00F346D4"/>
    <w:rsid w:val="00F37921"/>
    <w:rsid w:val="00F41546"/>
    <w:rsid w:val="00F43D1E"/>
    <w:rsid w:val="00F45440"/>
    <w:rsid w:val="00F46290"/>
    <w:rsid w:val="00F47816"/>
    <w:rsid w:val="00F502B8"/>
    <w:rsid w:val="00F50484"/>
    <w:rsid w:val="00F51098"/>
    <w:rsid w:val="00F529F1"/>
    <w:rsid w:val="00F532D1"/>
    <w:rsid w:val="00F53D26"/>
    <w:rsid w:val="00F55C03"/>
    <w:rsid w:val="00F61C82"/>
    <w:rsid w:val="00F63FA0"/>
    <w:rsid w:val="00F67240"/>
    <w:rsid w:val="00F70330"/>
    <w:rsid w:val="00F70C14"/>
    <w:rsid w:val="00F74E21"/>
    <w:rsid w:val="00F77A10"/>
    <w:rsid w:val="00F77EEF"/>
    <w:rsid w:val="00F8110A"/>
    <w:rsid w:val="00F83857"/>
    <w:rsid w:val="00F84B37"/>
    <w:rsid w:val="00F84DA9"/>
    <w:rsid w:val="00F8580A"/>
    <w:rsid w:val="00F86C29"/>
    <w:rsid w:val="00F873BC"/>
    <w:rsid w:val="00F909D8"/>
    <w:rsid w:val="00F90D71"/>
    <w:rsid w:val="00F910AC"/>
    <w:rsid w:val="00F92B0E"/>
    <w:rsid w:val="00F960F5"/>
    <w:rsid w:val="00F97256"/>
    <w:rsid w:val="00F973FC"/>
    <w:rsid w:val="00FA2010"/>
    <w:rsid w:val="00FA5AA0"/>
    <w:rsid w:val="00FB0625"/>
    <w:rsid w:val="00FB31C4"/>
    <w:rsid w:val="00FB48C6"/>
    <w:rsid w:val="00FB5C1C"/>
    <w:rsid w:val="00FC0D35"/>
    <w:rsid w:val="00FC615B"/>
    <w:rsid w:val="00FC72F3"/>
    <w:rsid w:val="00FD12FE"/>
    <w:rsid w:val="00FD3FF9"/>
    <w:rsid w:val="00FD4715"/>
    <w:rsid w:val="00FD5A26"/>
    <w:rsid w:val="00FD6B8C"/>
    <w:rsid w:val="00FE0D3F"/>
    <w:rsid w:val="00FE2E4F"/>
    <w:rsid w:val="00FE68EF"/>
    <w:rsid w:val="00FE74AD"/>
    <w:rsid w:val="00FE7695"/>
    <w:rsid w:val="00FF1600"/>
    <w:rsid w:val="00FF365F"/>
    <w:rsid w:val="00FF480F"/>
    <w:rsid w:val="00FF51C9"/>
    <w:rsid w:val="00FF6697"/>
    <w:rsid w:val="00FF7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o:shapelayout v:ext="edit">
      <o:idmap v:ext="edit" data="1"/>
    </o:shapelayout>
  </w:shapeDefaults>
  <w:decimalSymbol w:val="."/>
  <w:listSeparator w:val=","/>
  <w14:docId w14:val="35FEB2BA"/>
  <w15:docId w15:val="{6874AE0C-D11E-4DB3-B22C-07758831E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sz w:val="28"/>
      <w:lang w:val="en-US"/>
    </w:rPr>
  </w:style>
  <w:style w:type="paragraph" w:styleId="Heading2">
    <w:name w:val="heading 2"/>
    <w:basedOn w:val="Normal"/>
    <w:next w:val="Normal"/>
    <w:qFormat/>
    <w:pPr>
      <w:keepNext/>
      <w:outlineLvl w:val="1"/>
    </w:pPr>
    <w:rPr>
      <w:b/>
      <w:lang w:val="en-US"/>
    </w:rPr>
  </w:style>
  <w:style w:type="paragraph" w:styleId="Heading3">
    <w:name w:val="heading 3"/>
    <w:basedOn w:val="Normal"/>
    <w:next w:val="Normal"/>
    <w:qFormat/>
    <w:pPr>
      <w:keepNext/>
      <w:keepLines/>
      <w:spacing w:after="120"/>
      <w:jc w:val="both"/>
      <w:outlineLvl w:val="2"/>
    </w:pPr>
    <w:rPr>
      <w:b/>
      <w:lang w:val="en-US"/>
    </w:rPr>
  </w:style>
  <w:style w:type="paragraph" w:styleId="Heading4">
    <w:name w:val="heading 4"/>
    <w:basedOn w:val="Normal"/>
    <w:next w:val="Normal"/>
    <w:qFormat/>
    <w:pPr>
      <w:keepNext/>
      <w:keepLines/>
      <w:ind w:left="425"/>
      <w:jc w:val="both"/>
      <w:outlineLvl w:val="3"/>
    </w:pPr>
    <w:rPr>
      <w:b/>
      <w:lang w:val="en-US"/>
    </w:rPr>
  </w:style>
  <w:style w:type="paragraph" w:styleId="Heading5">
    <w:name w:val="heading 5"/>
    <w:basedOn w:val="Normal"/>
    <w:next w:val="Normal"/>
    <w:qFormat/>
    <w:pPr>
      <w:keepNext/>
      <w:ind w:left="425"/>
      <w:outlineLvl w:val="4"/>
    </w:pPr>
    <w:rPr>
      <w:b/>
      <w:lang w:val="en-US"/>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spacing w:after="240"/>
      <w:outlineLvl w:val="6"/>
    </w:pPr>
  </w:style>
  <w:style w:type="paragraph" w:styleId="Heading8">
    <w:name w:val="heading 8"/>
    <w:basedOn w:val="Normal"/>
    <w:next w:val="Normal"/>
    <w:qFormat/>
    <w:pPr>
      <w:keepNext/>
      <w:outlineLvl w:val="7"/>
    </w:pPr>
    <w:rPr>
      <w:rFonts w:ascii="Arial" w:hAnsi="Arial"/>
      <w:b/>
      <w:sz w:val="20"/>
    </w:rPr>
  </w:style>
  <w:style w:type="paragraph" w:styleId="Heading9">
    <w:name w:val="heading 9"/>
    <w:basedOn w:val="Normal"/>
    <w:next w:val="Normal"/>
    <w:qFormat/>
    <w:pPr>
      <w:keepNext/>
      <w:jc w:val="center"/>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lang w:val="en-US"/>
    </w:rPr>
  </w:style>
  <w:style w:type="paragraph" w:styleId="BodyText2">
    <w:name w:val="Body Text 2"/>
    <w:basedOn w:val="Normal"/>
    <w:pPr>
      <w:spacing w:after="120"/>
      <w:ind w:right="-366"/>
    </w:pPr>
    <w:rPr>
      <w:lang w:val="en-US"/>
    </w:rPr>
  </w:style>
  <w:style w:type="paragraph" w:styleId="Header">
    <w:name w:val="header"/>
    <w:basedOn w:val="Normal"/>
    <w:link w:val="HeaderChar"/>
    <w:uiPriority w:val="99"/>
    <w:pPr>
      <w:tabs>
        <w:tab w:val="center" w:pos="4153"/>
        <w:tab w:val="right" w:pos="8306"/>
      </w:tabs>
    </w:pPr>
    <w:rPr>
      <w:lang w:val="x-none"/>
    </w:rPr>
  </w:style>
  <w:style w:type="paragraph" w:styleId="Footer">
    <w:name w:val="footer"/>
    <w:basedOn w:val="Normal"/>
    <w:pPr>
      <w:tabs>
        <w:tab w:val="center" w:pos="4153"/>
        <w:tab w:val="right" w:pos="8306"/>
      </w:tabs>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customStyle="1" w:styleId="DETRLevel1">
    <w:name w:val="DETR Level 1"/>
    <w:basedOn w:val="ListNumber"/>
    <w:pPr>
      <w:tabs>
        <w:tab w:val="clear" w:pos="360"/>
        <w:tab w:val="left" w:pos="-720"/>
      </w:tabs>
      <w:suppressAutoHyphens/>
      <w:jc w:val="both"/>
    </w:pPr>
    <w:rPr>
      <w:spacing w:val="-2"/>
    </w:rPr>
  </w:style>
  <w:style w:type="paragraph" w:styleId="ListNumber">
    <w:name w:val="List Number"/>
    <w:basedOn w:val="Normal"/>
    <w:pPr>
      <w:numPr>
        <w:numId w:val="1"/>
      </w:numPr>
    </w:pPr>
  </w:style>
  <w:style w:type="paragraph" w:styleId="BodyTextIndent">
    <w:name w:val="Body Text Indent"/>
    <w:basedOn w:val="Normal"/>
    <w:pPr>
      <w:spacing w:before="100" w:after="100"/>
      <w:ind w:left="720" w:hanging="720"/>
      <w:jc w:val="both"/>
    </w:pPr>
    <w:rPr>
      <w:rFonts w:ascii="Arial" w:hAnsi="Arial"/>
      <w:sz w:val="20"/>
    </w:rPr>
  </w:style>
  <w:style w:type="paragraph" w:styleId="BodyText3">
    <w:name w:val="Body Text 3"/>
    <w:basedOn w:val="Normal"/>
    <w:rPr>
      <w:rFonts w:ascii="Arial" w:hAnsi="Arial"/>
      <w:sz w:val="20"/>
    </w:rPr>
  </w:style>
  <w:style w:type="paragraph" w:customStyle="1" w:styleId="AgencyStdParagraph">
    <w:name w:val="Agency Std Paragraph"/>
    <w:autoRedefine/>
    <w:pPr>
      <w:jc w:val="both"/>
    </w:pPr>
    <w:rPr>
      <w:rFonts w:ascii="Arial" w:hAnsi="Arial"/>
      <w:b/>
      <w:sz w:val="24"/>
      <w:lang w:eastAsia="en-US"/>
    </w:rPr>
  </w:style>
  <w:style w:type="character" w:styleId="Hyperlink">
    <w:name w:val="Hyperlink"/>
    <w:rPr>
      <w:color w:val="0000FF"/>
      <w:u w:val="single"/>
    </w:rPr>
  </w:style>
  <w:style w:type="paragraph" w:styleId="E-mailSignature">
    <w:name w:val="E-mail Signature"/>
    <w:basedOn w:val="Normal"/>
  </w:style>
  <w:style w:type="paragraph" w:styleId="NormalWeb">
    <w:name w:val="Normal (Web)"/>
    <w:basedOn w:val="Normal"/>
    <w:uiPriority w:val="99"/>
    <w:pPr>
      <w:spacing w:before="100" w:after="100"/>
    </w:pPr>
    <w:rPr>
      <w:rFonts w:ascii="Arial Unicode MS" w:eastAsia="Arial Unicode MS" w:hAnsi="Arial Unicode MS"/>
    </w:rPr>
  </w:style>
  <w:style w:type="character" w:styleId="PageNumber">
    <w:name w:val="page number"/>
    <w:rPr>
      <w:rFonts w:ascii="Foundry Form Sans" w:hAnsi="Foundry Form Sans"/>
    </w:rPr>
  </w:style>
  <w:style w:type="paragraph" w:styleId="BodyTextIndent2">
    <w:name w:val="Body Text Indent 2"/>
    <w:basedOn w:val="Normal"/>
    <w:pPr>
      <w:spacing w:after="120"/>
      <w:ind w:left="360"/>
    </w:pPr>
    <w:rPr>
      <w:sz w:val="22"/>
    </w:rPr>
  </w:style>
  <w:style w:type="paragraph" w:styleId="Title">
    <w:name w:val="Title"/>
    <w:basedOn w:val="Normal"/>
    <w:qFormat/>
    <w:pPr>
      <w:jc w:val="center"/>
    </w:pPr>
    <w:rPr>
      <w:rFonts w:ascii="Arial" w:hAnsi="Arial"/>
      <w:b/>
      <w:sz w:val="28"/>
    </w:rPr>
  </w:style>
  <w:style w:type="paragraph" w:styleId="BodyTextIndent3">
    <w:name w:val="Body Text Indent 3"/>
    <w:basedOn w:val="Normal"/>
    <w:pPr>
      <w:spacing w:after="240"/>
      <w:ind w:left="425"/>
      <w:jc w:val="both"/>
    </w:pPr>
  </w:style>
  <w:style w:type="paragraph" w:styleId="PlainText">
    <w:name w:val="Plain Text"/>
    <w:basedOn w:val="Normal"/>
    <w:rPr>
      <w:rFonts w:ascii="Courier New" w:hAnsi="Courier New"/>
      <w:sz w:val="20"/>
      <w:lang w:val="en-US"/>
    </w:rPr>
  </w:style>
  <w:style w:type="paragraph" w:customStyle="1" w:styleId="algHeading2">
    <w:name w:val="alg_Heading2"/>
    <w:basedOn w:val="Normal"/>
    <w:autoRedefine/>
    <w:pPr>
      <w:ind w:left="-108" w:right="-108"/>
    </w:pPr>
    <w:rPr>
      <w:b/>
      <w:noProof/>
      <w:sz w:val="36"/>
    </w:rPr>
  </w:style>
  <w:style w:type="paragraph" w:customStyle="1" w:styleId="Spacer">
    <w:name w:val="Spacer"/>
    <w:basedOn w:val="Header"/>
    <w:pPr>
      <w:tabs>
        <w:tab w:val="clear" w:pos="4153"/>
        <w:tab w:val="clear" w:pos="8306"/>
      </w:tabs>
    </w:pPr>
    <w:rPr>
      <w:rFonts w:ascii="Officina Sans ITC TT" w:hAnsi="Officina Sans ITC TT"/>
      <w:sz w:val="12"/>
    </w:rPr>
  </w:style>
  <w:style w:type="paragraph" w:customStyle="1" w:styleId="algHeading1">
    <w:name w:val="alg_Heading1"/>
    <w:basedOn w:val="Normal"/>
    <w:pPr>
      <w:spacing w:before="120" w:after="120"/>
      <w:ind w:left="-108"/>
    </w:pPr>
    <w:rPr>
      <w:rFonts w:ascii="Officina Sans ITC TT" w:hAnsi="Officina Sans ITC TT"/>
      <w:sz w:val="48"/>
    </w:rPr>
  </w:style>
  <w:style w:type="paragraph" w:customStyle="1" w:styleId="algFormBold">
    <w:name w:val="alg_FormBold"/>
    <w:basedOn w:val="algForm"/>
    <w:pPr>
      <w:ind w:left="-108"/>
    </w:pPr>
    <w:rPr>
      <w:b/>
    </w:rPr>
  </w:style>
  <w:style w:type="paragraph" w:customStyle="1" w:styleId="algForm">
    <w:name w:val="alg_Form"/>
    <w:basedOn w:val="Normal"/>
    <w:pPr>
      <w:spacing w:before="120" w:after="120"/>
    </w:pPr>
    <w:rPr>
      <w:rFonts w:ascii="Officina Sans ITC TT" w:hAnsi="Officina Sans ITC TT"/>
    </w:rPr>
  </w:style>
  <w:style w:type="paragraph" w:customStyle="1" w:styleId="N5">
    <w:name w:val="N5"/>
    <w:basedOn w:val="N4"/>
    <w:pPr>
      <w:numPr>
        <w:ilvl w:val="0"/>
        <w:numId w:val="0"/>
      </w:numPr>
      <w:tabs>
        <w:tab w:val="num" w:pos="360"/>
        <w:tab w:val="num" w:pos="3600"/>
      </w:tabs>
      <w:ind w:left="3600" w:hanging="360"/>
    </w:pPr>
  </w:style>
  <w:style w:type="paragraph" w:customStyle="1" w:styleId="N4">
    <w:name w:val="N4"/>
    <w:basedOn w:val="N3"/>
    <w:pPr>
      <w:numPr>
        <w:ilvl w:val="3"/>
      </w:numPr>
      <w:tabs>
        <w:tab w:val="clear" w:pos="1134"/>
        <w:tab w:val="num" w:pos="2880"/>
      </w:tabs>
      <w:ind w:left="2880" w:hanging="360"/>
    </w:pPr>
  </w:style>
  <w:style w:type="paragraph" w:customStyle="1" w:styleId="N3">
    <w:name w:val="N3"/>
    <w:basedOn w:val="N2"/>
    <w:pPr>
      <w:numPr>
        <w:ilvl w:val="2"/>
      </w:numPr>
      <w:tabs>
        <w:tab w:val="clear" w:pos="737"/>
        <w:tab w:val="num" w:pos="2160"/>
      </w:tabs>
      <w:ind w:left="2160" w:hanging="180"/>
    </w:pPr>
  </w:style>
  <w:style w:type="paragraph" w:customStyle="1" w:styleId="N2">
    <w:name w:val="N2"/>
    <w:basedOn w:val="N1"/>
    <w:pPr>
      <w:numPr>
        <w:ilvl w:val="1"/>
      </w:numPr>
      <w:tabs>
        <w:tab w:val="num" w:pos="1440"/>
      </w:tabs>
      <w:spacing w:before="80"/>
      <w:ind w:left="1440" w:hanging="360"/>
    </w:pPr>
  </w:style>
  <w:style w:type="paragraph" w:customStyle="1" w:styleId="N1">
    <w:name w:val="N1"/>
    <w:basedOn w:val="Normal"/>
    <w:pPr>
      <w:numPr>
        <w:numId w:val="3"/>
      </w:numPr>
      <w:spacing w:before="160" w:line="220" w:lineRule="atLeast"/>
      <w:jc w:val="both"/>
    </w:pPr>
    <w:rPr>
      <w:sz w:val="21"/>
    </w:rPr>
  </w:style>
  <w:style w:type="character" w:styleId="FollowedHyperlink">
    <w:name w:val="FollowedHyperlink"/>
    <w:rsid w:val="00327CDF"/>
    <w:rPr>
      <w:color w:val="800080"/>
      <w:u w:val="single"/>
    </w:rPr>
  </w:style>
  <w:style w:type="character" w:styleId="Strong">
    <w:name w:val="Strong"/>
    <w:qFormat/>
    <w:rsid w:val="00750FEE"/>
    <w:rPr>
      <w:b/>
      <w:bCs/>
    </w:rPr>
  </w:style>
  <w:style w:type="character" w:customStyle="1" w:styleId="legamendquote1">
    <w:name w:val="legamendquote1"/>
    <w:rsid w:val="005E6953"/>
    <w:rPr>
      <w:b w:val="0"/>
      <w:bCs w:val="0"/>
      <w:i w:val="0"/>
      <w:iCs w:val="0"/>
    </w:rPr>
  </w:style>
  <w:style w:type="character" w:customStyle="1" w:styleId="legdslegp1no">
    <w:name w:val="legds legp1no"/>
    <w:basedOn w:val="DefaultParagraphFont"/>
    <w:rsid w:val="005E6953"/>
  </w:style>
  <w:style w:type="character" w:customStyle="1" w:styleId="legdslegp1grouptitle">
    <w:name w:val="legds legp1grouptitle"/>
    <w:basedOn w:val="DefaultParagraphFont"/>
    <w:rsid w:val="005E6953"/>
  </w:style>
  <w:style w:type="character" w:customStyle="1" w:styleId="legdsleglhslegp2no">
    <w:name w:val="legds leglhs legp2no"/>
    <w:basedOn w:val="DefaultParagraphFont"/>
    <w:rsid w:val="005E6953"/>
  </w:style>
  <w:style w:type="character" w:customStyle="1" w:styleId="legdslegrhslegp2text">
    <w:name w:val="legds legrhs legp2text"/>
    <w:basedOn w:val="DefaultParagraphFont"/>
    <w:rsid w:val="005E6953"/>
  </w:style>
  <w:style w:type="character" w:customStyle="1" w:styleId="legdslegp1noc1amend">
    <w:name w:val="legds legp1noc1amend"/>
    <w:basedOn w:val="DefaultParagraphFont"/>
    <w:rsid w:val="005E6953"/>
  </w:style>
  <w:style w:type="character" w:customStyle="1" w:styleId="legdslegp1grouptitlefirstc1amend">
    <w:name w:val="legds legp1grouptitlefirstc1amend"/>
    <w:basedOn w:val="DefaultParagraphFont"/>
    <w:rsid w:val="005E6953"/>
  </w:style>
  <w:style w:type="character" w:customStyle="1" w:styleId="legdsleglhslegp2noc1amend">
    <w:name w:val="legds leglhs legp2noc1amend"/>
    <w:basedOn w:val="DefaultParagraphFont"/>
    <w:rsid w:val="005E6953"/>
  </w:style>
  <w:style w:type="character" w:customStyle="1" w:styleId="legdslegrhslegp2textc1amend">
    <w:name w:val="legds legrhs legp2textc1amend"/>
    <w:basedOn w:val="DefaultParagraphFont"/>
    <w:rsid w:val="005E6953"/>
  </w:style>
  <w:style w:type="character" w:customStyle="1" w:styleId="legdsleglhslegp3noc1amend">
    <w:name w:val="legds leglhs legp3noc1amend"/>
    <w:basedOn w:val="DefaultParagraphFont"/>
    <w:rsid w:val="005E6953"/>
  </w:style>
  <w:style w:type="character" w:customStyle="1" w:styleId="legdslegrhslegp3textc1amend">
    <w:name w:val="legds legrhs legp3textc1amend"/>
    <w:basedOn w:val="DefaultParagraphFont"/>
    <w:rsid w:val="005E6953"/>
  </w:style>
  <w:style w:type="character" w:customStyle="1" w:styleId="legdslegp1grouptitlec1amend">
    <w:name w:val="legds legp1grouptitlec1amend"/>
    <w:basedOn w:val="DefaultParagraphFont"/>
    <w:rsid w:val="005E6953"/>
  </w:style>
  <w:style w:type="paragraph" w:styleId="ListParagraph">
    <w:name w:val="List Paragraph"/>
    <w:basedOn w:val="Normal"/>
    <w:uiPriority w:val="34"/>
    <w:qFormat/>
    <w:rsid w:val="00820644"/>
    <w:pPr>
      <w:spacing w:after="200" w:line="276" w:lineRule="auto"/>
      <w:ind w:left="720"/>
      <w:contextualSpacing/>
    </w:pPr>
    <w:rPr>
      <w:rFonts w:ascii="Arial" w:eastAsia="Calibri" w:hAnsi="Arial" w:cs="Arial"/>
      <w:sz w:val="22"/>
      <w:szCs w:val="22"/>
    </w:rPr>
  </w:style>
  <w:style w:type="character" w:customStyle="1" w:styleId="HeaderChar">
    <w:name w:val="Header Char"/>
    <w:link w:val="Header"/>
    <w:uiPriority w:val="99"/>
    <w:rsid w:val="00F34228"/>
    <w:rPr>
      <w:sz w:val="24"/>
      <w:lang w:eastAsia="en-US"/>
    </w:rPr>
  </w:style>
  <w:style w:type="paragraph" w:styleId="BalloonText">
    <w:name w:val="Balloon Text"/>
    <w:basedOn w:val="Normal"/>
    <w:link w:val="BalloonTextChar"/>
    <w:rsid w:val="00F34228"/>
    <w:rPr>
      <w:rFonts w:ascii="Tahoma" w:hAnsi="Tahoma"/>
      <w:sz w:val="16"/>
      <w:szCs w:val="16"/>
      <w:lang w:val="x-none"/>
    </w:rPr>
  </w:style>
  <w:style w:type="character" w:customStyle="1" w:styleId="BalloonTextChar">
    <w:name w:val="Balloon Text Char"/>
    <w:link w:val="BalloonText"/>
    <w:rsid w:val="00F34228"/>
    <w:rPr>
      <w:rFonts w:ascii="Tahoma" w:hAnsi="Tahoma" w:cs="Tahoma"/>
      <w:sz w:val="16"/>
      <w:szCs w:val="16"/>
      <w:lang w:eastAsia="en-US"/>
    </w:rPr>
  </w:style>
  <w:style w:type="table" w:styleId="TableGrid">
    <w:name w:val="Table Grid"/>
    <w:basedOn w:val="TableNormal"/>
    <w:rsid w:val="009D4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61BEF"/>
    <w:rPr>
      <w:rFonts w:ascii="Calibri" w:eastAsia="Calibri" w:hAnsi="Calibri"/>
      <w:sz w:val="22"/>
      <w:szCs w:val="22"/>
      <w:lang w:eastAsia="en-US"/>
    </w:rPr>
  </w:style>
  <w:style w:type="character" w:styleId="Emphasis">
    <w:name w:val="Emphasis"/>
    <w:uiPriority w:val="20"/>
    <w:qFormat/>
    <w:rsid w:val="00F33F9E"/>
    <w:rPr>
      <w:b/>
      <w:bCs/>
      <w:i w:val="0"/>
      <w:iCs w:val="0"/>
    </w:rPr>
  </w:style>
  <w:style w:type="character" w:customStyle="1" w:styleId="st1">
    <w:name w:val="st1"/>
    <w:basedOn w:val="DefaultParagraphFont"/>
    <w:rsid w:val="00F33F9E"/>
  </w:style>
  <w:style w:type="character" w:styleId="CommentReference">
    <w:name w:val="annotation reference"/>
    <w:rsid w:val="00EF0827"/>
    <w:rPr>
      <w:sz w:val="16"/>
      <w:szCs w:val="16"/>
    </w:rPr>
  </w:style>
  <w:style w:type="paragraph" w:styleId="CommentText">
    <w:name w:val="annotation text"/>
    <w:basedOn w:val="Normal"/>
    <w:link w:val="CommentTextChar"/>
    <w:rsid w:val="00EF0827"/>
    <w:rPr>
      <w:sz w:val="20"/>
      <w:lang w:val="x-none"/>
    </w:rPr>
  </w:style>
  <w:style w:type="character" w:customStyle="1" w:styleId="CommentTextChar">
    <w:name w:val="Comment Text Char"/>
    <w:link w:val="CommentText"/>
    <w:rsid w:val="00EF0827"/>
    <w:rPr>
      <w:lang w:eastAsia="en-US"/>
    </w:rPr>
  </w:style>
  <w:style w:type="paragraph" w:styleId="CommentSubject">
    <w:name w:val="annotation subject"/>
    <w:basedOn w:val="CommentText"/>
    <w:next w:val="CommentText"/>
    <w:link w:val="CommentSubjectChar"/>
    <w:rsid w:val="00EF0827"/>
    <w:rPr>
      <w:b/>
      <w:bCs/>
    </w:rPr>
  </w:style>
  <w:style w:type="character" w:customStyle="1" w:styleId="CommentSubjectChar">
    <w:name w:val="Comment Subject Char"/>
    <w:link w:val="CommentSubject"/>
    <w:rsid w:val="00EF082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95484">
      <w:bodyDiv w:val="1"/>
      <w:marLeft w:val="0"/>
      <w:marRight w:val="0"/>
      <w:marTop w:val="0"/>
      <w:marBottom w:val="0"/>
      <w:divBdr>
        <w:top w:val="none" w:sz="0" w:space="0" w:color="auto"/>
        <w:left w:val="none" w:sz="0" w:space="0" w:color="auto"/>
        <w:bottom w:val="none" w:sz="0" w:space="0" w:color="auto"/>
        <w:right w:val="none" w:sz="0" w:space="0" w:color="auto"/>
      </w:divBdr>
    </w:div>
    <w:div w:id="601373976">
      <w:bodyDiv w:val="1"/>
      <w:marLeft w:val="0"/>
      <w:marRight w:val="0"/>
      <w:marTop w:val="0"/>
      <w:marBottom w:val="0"/>
      <w:divBdr>
        <w:top w:val="none" w:sz="0" w:space="0" w:color="auto"/>
        <w:left w:val="none" w:sz="0" w:space="0" w:color="auto"/>
        <w:bottom w:val="none" w:sz="0" w:space="0" w:color="auto"/>
        <w:right w:val="none" w:sz="0" w:space="0" w:color="auto"/>
      </w:divBdr>
    </w:div>
    <w:div w:id="986010219">
      <w:bodyDiv w:val="1"/>
      <w:marLeft w:val="0"/>
      <w:marRight w:val="0"/>
      <w:marTop w:val="0"/>
      <w:marBottom w:val="0"/>
      <w:divBdr>
        <w:top w:val="none" w:sz="0" w:space="0" w:color="auto"/>
        <w:left w:val="none" w:sz="0" w:space="0" w:color="auto"/>
        <w:bottom w:val="none" w:sz="0" w:space="0" w:color="auto"/>
        <w:right w:val="none" w:sz="0" w:space="0" w:color="auto"/>
      </w:divBdr>
    </w:div>
    <w:div w:id="1185754934">
      <w:bodyDiv w:val="1"/>
      <w:marLeft w:val="0"/>
      <w:marRight w:val="0"/>
      <w:marTop w:val="0"/>
      <w:marBottom w:val="0"/>
      <w:divBdr>
        <w:top w:val="none" w:sz="0" w:space="0" w:color="auto"/>
        <w:left w:val="none" w:sz="0" w:space="0" w:color="auto"/>
        <w:bottom w:val="none" w:sz="0" w:space="0" w:color="auto"/>
        <w:right w:val="none" w:sz="0" w:space="0" w:color="auto"/>
      </w:divBdr>
      <w:divsChild>
        <w:div w:id="8290106">
          <w:marLeft w:val="0"/>
          <w:marRight w:val="0"/>
          <w:marTop w:val="58"/>
          <w:marBottom w:val="0"/>
          <w:divBdr>
            <w:top w:val="none" w:sz="0" w:space="0" w:color="auto"/>
            <w:left w:val="none" w:sz="0" w:space="0" w:color="auto"/>
            <w:bottom w:val="none" w:sz="0" w:space="0" w:color="auto"/>
            <w:right w:val="none" w:sz="0" w:space="0" w:color="auto"/>
          </w:divBdr>
        </w:div>
        <w:div w:id="241573293">
          <w:marLeft w:val="0"/>
          <w:marRight w:val="0"/>
          <w:marTop w:val="58"/>
          <w:marBottom w:val="0"/>
          <w:divBdr>
            <w:top w:val="none" w:sz="0" w:space="0" w:color="auto"/>
            <w:left w:val="none" w:sz="0" w:space="0" w:color="auto"/>
            <w:bottom w:val="none" w:sz="0" w:space="0" w:color="auto"/>
            <w:right w:val="none" w:sz="0" w:space="0" w:color="auto"/>
          </w:divBdr>
        </w:div>
        <w:div w:id="269708127">
          <w:marLeft w:val="0"/>
          <w:marRight w:val="0"/>
          <w:marTop w:val="58"/>
          <w:marBottom w:val="0"/>
          <w:divBdr>
            <w:top w:val="none" w:sz="0" w:space="0" w:color="auto"/>
            <w:left w:val="none" w:sz="0" w:space="0" w:color="auto"/>
            <w:bottom w:val="none" w:sz="0" w:space="0" w:color="auto"/>
            <w:right w:val="none" w:sz="0" w:space="0" w:color="auto"/>
          </w:divBdr>
        </w:div>
        <w:div w:id="609162742">
          <w:marLeft w:val="0"/>
          <w:marRight w:val="0"/>
          <w:marTop w:val="58"/>
          <w:marBottom w:val="0"/>
          <w:divBdr>
            <w:top w:val="none" w:sz="0" w:space="0" w:color="auto"/>
            <w:left w:val="none" w:sz="0" w:space="0" w:color="auto"/>
            <w:bottom w:val="none" w:sz="0" w:space="0" w:color="auto"/>
            <w:right w:val="none" w:sz="0" w:space="0" w:color="auto"/>
          </w:divBdr>
        </w:div>
        <w:div w:id="1377005549">
          <w:marLeft w:val="0"/>
          <w:marRight w:val="0"/>
          <w:marTop w:val="58"/>
          <w:marBottom w:val="0"/>
          <w:divBdr>
            <w:top w:val="none" w:sz="0" w:space="0" w:color="auto"/>
            <w:left w:val="none" w:sz="0" w:space="0" w:color="auto"/>
            <w:bottom w:val="none" w:sz="0" w:space="0" w:color="auto"/>
            <w:right w:val="none" w:sz="0" w:space="0" w:color="auto"/>
          </w:divBdr>
        </w:div>
        <w:div w:id="1866098062">
          <w:marLeft w:val="0"/>
          <w:marRight w:val="0"/>
          <w:marTop w:val="58"/>
          <w:marBottom w:val="0"/>
          <w:divBdr>
            <w:top w:val="none" w:sz="0" w:space="0" w:color="auto"/>
            <w:left w:val="none" w:sz="0" w:space="0" w:color="auto"/>
            <w:bottom w:val="none" w:sz="0" w:space="0" w:color="auto"/>
            <w:right w:val="none" w:sz="0" w:space="0" w:color="auto"/>
          </w:divBdr>
        </w:div>
        <w:div w:id="2144231428">
          <w:marLeft w:val="0"/>
          <w:marRight w:val="0"/>
          <w:marTop w:val="58"/>
          <w:marBottom w:val="0"/>
          <w:divBdr>
            <w:top w:val="none" w:sz="0" w:space="0" w:color="auto"/>
            <w:left w:val="none" w:sz="0" w:space="0" w:color="auto"/>
            <w:bottom w:val="none" w:sz="0" w:space="0" w:color="auto"/>
            <w:right w:val="none" w:sz="0" w:space="0" w:color="auto"/>
          </w:divBdr>
        </w:div>
      </w:divsChild>
    </w:div>
    <w:div w:id="1642227856">
      <w:bodyDiv w:val="1"/>
      <w:marLeft w:val="0"/>
      <w:marRight w:val="0"/>
      <w:marTop w:val="0"/>
      <w:marBottom w:val="0"/>
      <w:divBdr>
        <w:top w:val="none" w:sz="0" w:space="0" w:color="auto"/>
        <w:left w:val="none" w:sz="0" w:space="0" w:color="auto"/>
        <w:bottom w:val="none" w:sz="0" w:space="0" w:color="auto"/>
        <w:right w:val="none" w:sz="0" w:space="0" w:color="auto"/>
      </w:divBdr>
      <w:divsChild>
        <w:div w:id="259337111">
          <w:marLeft w:val="3700"/>
          <w:marRight w:val="3700"/>
          <w:marTop w:val="0"/>
          <w:marBottom w:val="0"/>
          <w:divBdr>
            <w:top w:val="none" w:sz="0" w:space="0" w:color="auto"/>
            <w:left w:val="none" w:sz="0" w:space="0" w:color="auto"/>
            <w:bottom w:val="none" w:sz="0" w:space="0" w:color="auto"/>
            <w:right w:val="none" w:sz="0" w:space="0" w:color="auto"/>
          </w:divBdr>
          <w:divsChild>
            <w:div w:id="829830255">
              <w:marLeft w:val="0"/>
              <w:marRight w:val="0"/>
              <w:marTop w:val="0"/>
              <w:marBottom w:val="0"/>
              <w:divBdr>
                <w:top w:val="none" w:sz="0" w:space="0" w:color="auto"/>
                <w:left w:val="none" w:sz="0" w:space="0" w:color="auto"/>
                <w:bottom w:val="none" w:sz="0" w:space="0" w:color="auto"/>
                <w:right w:val="none" w:sz="0" w:space="0" w:color="auto"/>
              </w:divBdr>
              <w:divsChild>
                <w:div w:id="15324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536681">
      <w:bodyDiv w:val="1"/>
      <w:marLeft w:val="0"/>
      <w:marRight w:val="0"/>
      <w:marTop w:val="0"/>
      <w:marBottom w:val="0"/>
      <w:divBdr>
        <w:top w:val="none" w:sz="0" w:space="0" w:color="auto"/>
        <w:left w:val="none" w:sz="0" w:space="0" w:color="auto"/>
        <w:bottom w:val="none" w:sz="0" w:space="0" w:color="auto"/>
        <w:right w:val="none" w:sz="0" w:space="0" w:color="auto"/>
      </w:divBdr>
    </w:div>
    <w:div w:id="2090688664">
      <w:bodyDiv w:val="1"/>
      <w:marLeft w:val="0"/>
      <w:marRight w:val="0"/>
      <w:marTop w:val="0"/>
      <w:marBottom w:val="0"/>
      <w:divBdr>
        <w:top w:val="none" w:sz="0" w:space="0" w:color="auto"/>
        <w:left w:val="none" w:sz="0" w:space="0" w:color="auto"/>
        <w:bottom w:val="none" w:sz="0" w:space="0" w:color="auto"/>
        <w:right w:val="none" w:sz="0" w:space="0" w:color="auto"/>
      </w:divBdr>
    </w:div>
    <w:div w:id="2120179025">
      <w:bodyDiv w:val="1"/>
      <w:marLeft w:val="0"/>
      <w:marRight w:val="0"/>
      <w:marTop w:val="0"/>
      <w:marBottom w:val="0"/>
      <w:divBdr>
        <w:top w:val="none" w:sz="0" w:space="0" w:color="auto"/>
        <w:left w:val="none" w:sz="0" w:space="0" w:color="auto"/>
        <w:bottom w:val="none" w:sz="0" w:space="0" w:color="auto"/>
        <w:right w:val="none" w:sz="0" w:space="0" w:color="auto"/>
      </w:divBdr>
    </w:div>
    <w:div w:id="2122144135">
      <w:bodyDiv w:val="1"/>
      <w:marLeft w:val="0"/>
      <w:marRight w:val="0"/>
      <w:marTop w:val="0"/>
      <w:marBottom w:val="600"/>
      <w:divBdr>
        <w:top w:val="none" w:sz="0" w:space="0" w:color="auto"/>
        <w:left w:val="none" w:sz="0" w:space="0" w:color="auto"/>
        <w:bottom w:val="none" w:sz="0" w:space="0" w:color="auto"/>
        <w:right w:val="none" w:sz="0" w:space="0" w:color="auto"/>
      </w:divBdr>
      <w:divsChild>
        <w:div w:id="610478940">
          <w:marLeft w:val="0"/>
          <w:marRight w:val="0"/>
          <w:marTop w:val="0"/>
          <w:marBottom w:val="0"/>
          <w:divBdr>
            <w:top w:val="none" w:sz="0" w:space="0" w:color="auto"/>
            <w:left w:val="none" w:sz="0" w:space="0" w:color="auto"/>
            <w:bottom w:val="none" w:sz="0" w:space="0" w:color="auto"/>
            <w:right w:val="none" w:sz="0" w:space="0" w:color="auto"/>
          </w:divBdr>
          <w:divsChild>
            <w:div w:id="65997645">
              <w:marLeft w:val="400"/>
              <w:marRight w:val="400"/>
              <w:marTop w:val="0"/>
              <w:marBottom w:val="0"/>
              <w:divBdr>
                <w:top w:val="none" w:sz="0" w:space="0" w:color="auto"/>
                <w:left w:val="none" w:sz="0" w:space="0" w:color="auto"/>
                <w:bottom w:val="none" w:sz="0" w:space="0" w:color="auto"/>
                <w:right w:val="none" w:sz="0" w:space="0" w:color="auto"/>
              </w:divBdr>
              <w:divsChild>
                <w:div w:id="2055808760">
                  <w:marLeft w:val="3900"/>
                  <w:marRight w:val="0"/>
                  <w:marTop w:val="0"/>
                  <w:marBottom w:val="0"/>
                  <w:divBdr>
                    <w:top w:val="none" w:sz="0" w:space="0" w:color="auto"/>
                    <w:left w:val="none" w:sz="0" w:space="0" w:color="auto"/>
                    <w:bottom w:val="none" w:sz="0" w:space="0" w:color="auto"/>
                    <w:right w:val="none" w:sz="0" w:space="0" w:color="auto"/>
                  </w:divBdr>
                  <w:divsChild>
                    <w:div w:id="84536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mailto:ianodonnell@westlondonwaste.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ypatel@westlondonwaste.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mailto:sapnadhanani@westlondonwaste.gov.uk"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LBEALING-TC\Share\WLWA-FINANCE\2016-17\Statutory%20Accounts\Draft%20and%20Final%20Accounts\Stats%20for%20narrative%20repor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lw-fp01\WLWA-FINANCE\2021-22\Statutory%20Accounts%20-%202021-22\Draft%20and%20Final%20Accts\Older%20versions\Stats%20for%20narrative%20report%2021-2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WLW-FP01\WLWA-FINANCE\2021-22\Statutory%20Accounts%20-%202021-22\Draft%20and%20Final%20Accts\Stats%20for%20narrative%20report%2021-22%20v2.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WLW-FP01\WLWA-FINANCE\2021-22\Statutory%20Accounts%20-%202021-22\Benchmarking\WA%20reserve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1"/>
          <c:order val="0"/>
          <c:tx>
            <c:strRef>
              <c:f>'cost trends'!$A$12</c:f>
              <c:strCache>
                <c:ptCount val="1"/>
                <c:pt idx="0">
                  <c:v>Total WLWA cost per tonne</c:v>
                </c:pt>
              </c:strCache>
            </c:strRef>
          </c:tx>
          <c:spPr>
            <a:solidFill>
              <a:srgbClr val="92D05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'cost trends'!$B$11:$F$11</c:f>
              <c:strCache>
                <c:ptCount val="5"/>
                <c:pt idx="0">
                  <c:v>2012/13</c:v>
                </c:pt>
                <c:pt idx="1">
                  <c:v>2013/14</c:v>
                </c:pt>
                <c:pt idx="2">
                  <c:v>2014/15</c:v>
                </c:pt>
                <c:pt idx="3">
                  <c:v>2015/16</c:v>
                </c:pt>
                <c:pt idx="4">
                  <c:v>2016/17</c:v>
                </c:pt>
              </c:strCache>
            </c:strRef>
          </c:cat>
          <c:val>
            <c:numRef>
              <c:f>'cost trends'!$B$12:$F$12</c:f>
              <c:numCache>
                <c:formatCode>"£"#,##0.00</c:formatCode>
                <c:ptCount val="5"/>
                <c:pt idx="0">
                  <c:v>96.29684601113172</c:v>
                </c:pt>
                <c:pt idx="1">
                  <c:v>96.082601054481543</c:v>
                </c:pt>
                <c:pt idx="2">
                  <c:v>96.05061082024433</c:v>
                </c:pt>
                <c:pt idx="3">
                  <c:v>101.33810375670841</c:v>
                </c:pt>
                <c:pt idx="4">
                  <c:v>92.670138888888886</c:v>
                </c:pt>
              </c:numCache>
            </c:numRef>
          </c:val>
          <c:extLst>
            <c:ext xmlns:c16="http://schemas.microsoft.com/office/drawing/2014/chart" uri="{C3380CC4-5D6E-409C-BE32-E72D297353CC}">
              <c16:uniqueId val="{00000000-BE28-4329-A2E6-AC333E3DF35E}"/>
            </c:ext>
          </c:extLst>
        </c:ser>
        <c:dLbls>
          <c:showLegendKey val="0"/>
          <c:showVal val="0"/>
          <c:showCatName val="0"/>
          <c:showSerName val="0"/>
          <c:showPercent val="0"/>
          <c:showBubbleSize val="0"/>
        </c:dLbls>
        <c:gapWidth val="150"/>
        <c:shape val="box"/>
        <c:axId val="65827200"/>
        <c:axId val="65828736"/>
        <c:axId val="0"/>
      </c:bar3DChart>
      <c:catAx>
        <c:axId val="65827200"/>
        <c:scaling>
          <c:orientation val="minMax"/>
        </c:scaling>
        <c:delete val="0"/>
        <c:axPos val="b"/>
        <c:numFmt formatCode="General" sourceLinked="0"/>
        <c:majorTickMark val="out"/>
        <c:minorTickMark val="none"/>
        <c:tickLblPos val="nextTo"/>
        <c:crossAx val="65828736"/>
        <c:crosses val="autoZero"/>
        <c:auto val="1"/>
        <c:lblAlgn val="ctr"/>
        <c:lblOffset val="100"/>
        <c:noMultiLvlLbl val="0"/>
      </c:catAx>
      <c:valAx>
        <c:axId val="65828736"/>
        <c:scaling>
          <c:orientation val="minMax"/>
          <c:min val="0"/>
        </c:scaling>
        <c:delete val="0"/>
        <c:axPos val="l"/>
        <c:majorGridlines/>
        <c:numFmt formatCode="&quot;£&quot;#,##0.00" sourceLinked="1"/>
        <c:majorTickMark val="out"/>
        <c:minorTickMark val="none"/>
        <c:tickLblPos val="nextTo"/>
        <c:crossAx val="65827200"/>
        <c:crosses val="autoZero"/>
        <c:crossBetween val="between"/>
      </c:valAx>
    </c:plotArea>
    <c:plotVisOnly val="1"/>
    <c:dispBlanksAs val="gap"/>
    <c:showDLblsOverMax val="0"/>
  </c:chart>
  <c:spPr>
    <a:solidFill>
      <a:schemeClr val="accent1">
        <a:lumMod val="20000"/>
        <a:lumOff val="80000"/>
      </a:schemeClr>
    </a:solidFill>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Surplus / (deficit) on provision of services £000s</a:t>
            </a:r>
          </a:p>
        </c:rich>
      </c:tx>
      <c:layout>
        <c:manualLayout>
          <c:xMode val="edge"/>
          <c:yMode val="edge"/>
          <c:x val="0.11432415902140673"/>
          <c:y val="4.3572984749455342E-3"/>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3101129331310651"/>
          <c:y val="0.18334448390029678"/>
          <c:w val="0.84207739170218399"/>
          <c:h val="0.65085310414629549"/>
        </c:manualLayout>
      </c:layout>
      <c:bar3DChart>
        <c:barDir val="col"/>
        <c:grouping val="clustered"/>
        <c:varyColors val="0"/>
        <c:ser>
          <c:idx val="0"/>
          <c:order val="0"/>
          <c:tx>
            <c:strRef>
              <c:f>'cost trends'!$A$23</c:f>
              <c:strCache>
                <c:ptCount val="1"/>
                <c:pt idx="0">
                  <c:v>Surplus / (deficit) on provision of services</c:v>
                </c:pt>
              </c:strCache>
            </c:strRef>
          </c:tx>
          <c:spPr>
            <a:solidFill>
              <a:srgbClr val="92D050"/>
            </a:solidFill>
          </c:spPr>
          <c:invertIfNegative val="0"/>
          <c:dPt>
            <c:idx val="0"/>
            <c:invertIfNegative val="0"/>
            <c:bubble3D val="0"/>
            <c:extLst>
              <c:ext xmlns:c16="http://schemas.microsoft.com/office/drawing/2014/chart" uri="{C3380CC4-5D6E-409C-BE32-E72D297353CC}">
                <c16:uniqueId val="{00000000-3897-4540-A00C-0A1A72CA949C}"/>
              </c:ext>
            </c:extLst>
          </c:dPt>
          <c:dPt>
            <c:idx val="5"/>
            <c:invertIfNegative val="0"/>
            <c:bubble3D val="0"/>
            <c:spPr>
              <a:solidFill>
                <a:srgbClr val="FF0000"/>
              </a:solidFill>
            </c:spPr>
            <c:extLst>
              <c:ext xmlns:c16="http://schemas.microsoft.com/office/drawing/2014/chart" uri="{C3380CC4-5D6E-409C-BE32-E72D297353CC}">
                <c16:uniqueId val="{00000002-3897-4540-A00C-0A1A72CA949C}"/>
              </c:ext>
            </c:extLst>
          </c:dPt>
          <c:dPt>
            <c:idx val="6"/>
            <c:invertIfNegative val="0"/>
            <c:bubble3D val="0"/>
            <c:extLst>
              <c:ext xmlns:c16="http://schemas.microsoft.com/office/drawing/2014/chart" uri="{C3380CC4-5D6E-409C-BE32-E72D297353CC}">
                <c16:uniqueId val="{00000003-3897-4540-A00C-0A1A72CA949C}"/>
              </c:ext>
            </c:extLst>
          </c:dPt>
          <c:dPt>
            <c:idx val="7"/>
            <c:invertIfNegative val="0"/>
            <c:bubble3D val="0"/>
            <c:spPr>
              <a:solidFill>
                <a:srgbClr val="FF0000"/>
              </a:solidFill>
            </c:spPr>
            <c:extLst>
              <c:ext xmlns:c16="http://schemas.microsoft.com/office/drawing/2014/chart" uri="{C3380CC4-5D6E-409C-BE32-E72D297353CC}">
                <c16:uniqueId val="{00000005-3897-4540-A00C-0A1A72CA949C}"/>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'cost trends'!$E$22:$K$22</c:f>
              <c:strCache>
                <c:ptCount val="7"/>
                <c:pt idx="0">
                  <c:v>2015/16</c:v>
                </c:pt>
                <c:pt idx="1">
                  <c:v>2016/17</c:v>
                </c:pt>
                <c:pt idx="2">
                  <c:v>2017/18</c:v>
                </c:pt>
                <c:pt idx="3">
                  <c:v>2018/19</c:v>
                </c:pt>
                <c:pt idx="4">
                  <c:v>2019/20</c:v>
                </c:pt>
                <c:pt idx="5">
                  <c:v>2020/21</c:v>
                </c:pt>
                <c:pt idx="6">
                  <c:v>2021/22</c:v>
                </c:pt>
              </c:strCache>
            </c:strRef>
          </c:cat>
          <c:val>
            <c:numRef>
              <c:f>'cost trends'!$E$23:$K$23</c:f>
              <c:numCache>
                <c:formatCode>#,##0</c:formatCode>
                <c:ptCount val="7"/>
                <c:pt idx="0">
                  <c:v>2477</c:v>
                </c:pt>
                <c:pt idx="1">
                  <c:v>2013</c:v>
                </c:pt>
                <c:pt idx="2">
                  <c:v>1060</c:v>
                </c:pt>
                <c:pt idx="3">
                  <c:v>2874</c:v>
                </c:pt>
                <c:pt idx="4">
                  <c:v>253</c:v>
                </c:pt>
                <c:pt idx="5">
                  <c:v>-558.57756000000234</c:v>
                </c:pt>
                <c:pt idx="6">
                  <c:v>10472</c:v>
                </c:pt>
              </c:numCache>
            </c:numRef>
          </c:val>
          <c:extLst>
            <c:ext xmlns:c16="http://schemas.microsoft.com/office/drawing/2014/chart" uri="{C3380CC4-5D6E-409C-BE32-E72D297353CC}">
              <c16:uniqueId val="{00000006-3897-4540-A00C-0A1A72CA949C}"/>
            </c:ext>
          </c:extLst>
        </c:ser>
        <c:dLbls>
          <c:showLegendKey val="0"/>
          <c:showVal val="0"/>
          <c:showCatName val="0"/>
          <c:showSerName val="0"/>
          <c:showPercent val="0"/>
          <c:showBubbleSize val="0"/>
        </c:dLbls>
        <c:gapWidth val="150"/>
        <c:shape val="box"/>
        <c:axId val="132311680"/>
        <c:axId val="133702016"/>
        <c:axId val="0"/>
      </c:bar3DChart>
      <c:catAx>
        <c:axId val="132311680"/>
        <c:scaling>
          <c:orientation val="minMax"/>
        </c:scaling>
        <c:delete val="0"/>
        <c:axPos val="b"/>
        <c:numFmt formatCode="General" sourceLinked="0"/>
        <c:majorTickMark val="out"/>
        <c:minorTickMark val="none"/>
        <c:tickLblPos val="low"/>
        <c:txPr>
          <a:bodyPr rot="0"/>
          <a:lstStyle/>
          <a:p>
            <a:pPr>
              <a:defRPr/>
            </a:pPr>
            <a:endParaRPr lang="en-US"/>
          </a:p>
        </c:txPr>
        <c:crossAx val="133702016"/>
        <c:crosses val="autoZero"/>
        <c:auto val="1"/>
        <c:lblAlgn val="ctr"/>
        <c:lblOffset val="100"/>
        <c:noMultiLvlLbl val="0"/>
      </c:catAx>
      <c:valAx>
        <c:axId val="133702016"/>
        <c:scaling>
          <c:orientation val="minMax"/>
          <c:max val="3000"/>
          <c:min val="-500"/>
        </c:scaling>
        <c:delete val="0"/>
        <c:axPos val="l"/>
        <c:majorGridlines/>
        <c:numFmt formatCode="#,##0" sourceLinked="1"/>
        <c:majorTickMark val="out"/>
        <c:minorTickMark val="none"/>
        <c:tickLblPos val="nextTo"/>
        <c:crossAx val="132311680"/>
        <c:crosses val="autoZero"/>
        <c:crossBetween val="between"/>
      </c:valAx>
    </c:plotArea>
    <c:plotVisOnly val="1"/>
    <c:dispBlanksAs val="gap"/>
    <c:showDLblsOverMax val="0"/>
  </c:chart>
  <c:spPr>
    <a:solidFill>
      <a:schemeClr val="accent1">
        <a:lumMod val="20000"/>
        <a:lumOff val="80000"/>
      </a:schemeClr>
    </a:solidFill>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Reserve</a:t>
            </a:r>
            <a:r>
              <a:rPr lang="en-US" baseline="0"/>
              <a:t>s to manage risk £000s</a:t>
            </a:r>
            <a:endParaRPr lang="en-US"/>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'cost trends'!$A$21</c:f>
              <c:strCache>
                <c:ptCount val="1"/>
                <c:pt idx="0">
                  <c:v>Reserves excluding revaluation reserves</c:v>
                </c:pt>
              </c:strCache>
            </c:strRef>
          </c:tx>
          <c:spPr>
            <a:solidFill>
              <a:srgbClr val="92D050"/>
            </a:solidFill>
          </c:spPr>
          <c:invertIfNegative val="0"/>
          <c:dPt>
            <c:idx val="0"/>
            <c:invertIfNegative val="0"/>
            <c:bubble3D val="0"/>
            <c:extLst>
              <c:ext xmlns:c16="http://schemas.microsoft.com/office/drawing/2014/chart" uri="{C3380CC4-5D6E-409C-BE32-E72D297353CC}">
                <c16:uniqueId val="{00000000-8352-4016-BBCF-D4A28C6C6222}"/>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'cost trends'!$E$20:$K$20</c:f>
              <c:strCache>
                <c:ptCount val="7"/>
                <c:pt idx="0">
                  <c:v>2015/16</c:v>
                </c:pt>
                <c:pt idx="1">
                  <c:v>2016/17</c:v>
                </c:pt>
                <c:pt idx="2">
                  <c:v>2017/18</c:v>
                </c:pt>
                <c:pt idx="3">
                  <c:v>2018/19</c:v>
                </c:pt>
                <c:pt idx="4">
                  <c:v>2019/20</c:v>
                </c:pt>
                <c:pt idx="5">
                  <c:v>2020/21</c:v>
                </c:pt>
                <c:pt idx="6">
                  <c:v>2021/22</c:v>
                </c:pt>
              </c:strCache>
            </c:strRef>
          </c:cat>
          <c:val>
            <c:numRef>
              <c:f>'cost trends'!$E$21:$K$21</c:f>
              <c:numCache>
                <c:formatCode>#,##0</c:formatCode>
                <c:ptCount val="7"/>
                <c:pt idx="0">
                  <c:v>5965</c:v>
                </c:pt>
                <c:pt idx="1">
                  <c:v>3699</c:v>
                </c:pt>
                <c:pt idx="2">
                  <c:v>6452</c:v>
                </c:pt>
                <c:pt idx="3">
                  <c:v>10863</c:v>
                </c:pt>
                <c:pt idx="4">
                  <c:v>11048.39</c:v>
                </c:pt>
                <c:pt idx="5">
                  <c:v>7817.8193799999899</c:v>
                </c:pt>
                <c:pt idx="6">
                  <c:v>12461</c:v>
                </c:pt>
              </c:numCache>
            </c:numRef>
          </c:val>
          <c:extLst>
            <c:ext xmlns:c16="http://schemas.microsoft.com/office/drawing/2014/chart" uri="{C3380CC4-5D6E-409C-BE32-E72D297353CC}">
              <c16:uniqueId val="{00000001-8352-4016-BBCF-D4A28C6C6222}"/>
            </c:ext>
          </c:extLst>
        </c:ser>
        <c:dLbls>
          <c:showLegendKey val="0"/>
          <c:showVal val="0"/>
          <c:showCatName val="0"/>
          <c:showSerName val="0"/>
          <c:showPercent val="0"/>
          <c:showBubbleSize val="0"/>
        </c:dLbls>
        <c:gapWidth val="150"/>
        <c:shape val="box"/>
        <c:axId val="132285184"/>
        <c:axId val="132286720"/>
        <c:axId val="0"/>
      </c:bar3DChart>
      <c:catAx>
        <c:axId val="132285184"/>
        <c:scaling>
          <c:orientation val="minMax"/>
        </c:scaling>
        <c:delete val="0"/>
        <c:axPos val="b"/>
        <c:numFmt formatCode="General" sourceLinked="0"/>
        <c:majorTickMark val="out"/>
        <c:minorTickMark val="none"/>
        <c:tickLblPos val="nextTo"/>
        <c:txPr>
          <a:bodyPr rot="0"/>
          <a:lstStyle/>
          <a:p>
            <a:pPr>
              <a:defRPr/>
            </a:pPr>
            <a:endParaRPr lang="en-US"/>
          </a:p>
        </c:txPr>
        <c:crossAx val="132286720"/>
        <c:crosses val="autoZero"/>
        <c:auto val="1"/>
        <c:lblAlgn val="ctr"/>
        <c:lblOffset val="100"/>
        <c:noMultiLvlLbl val="0"/>
      </c:catAx>
      <c:valAx>
        <c:axId val="132286720"/>
        <c:scaling>
          <c:orientation val="minMax"/>
        </c:scaling>
        <c:delete val="0"/>
        <c:axPos val="l"/>
        <c:majorGridlines/>
        <c:numFmt formatCode="#,##0" sourceLinked="1"/>
        <c:majorTickMark val="out"/>
        <c:minorTickMark val="none"/>
        <c:tickLblPos val="nextTo"/>
        <c:crossAx val="132285184"/>
        <c:crosses val="autoZero"/>
        <c:crossBetween val="between"/>
      </c:valAx>
    </c:plotArea>
    <c:plotVisOnly val="1"/>
    <c:dispBlanksAs val="gap"/>
    <c:showDLblsOverMax val="0"/>
  </c:chart>
  <c:spPr>
    <a:solidFill>
      <a:schemeClr val="accent1">
        <a:lumMod val="20000"/>
        <a:lumOff val="80000"/>
      </a:schemeClr>
    </a:solidFill>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Summary!$P$14</c:f>
              <c:strCache>
                <c:ptCount val="1"/>
                <c:pt idx="0">
                  <c:v>Available Reserves £000s</c:v>
                </c:pt>
              </c:strCache>
            </c:strRef>
          </c:tx>
          <c:spPr>
            <a:solidFill>
              <a:srgbClr val="92D050"/>
            </a:solidFill>
            <a:ln>
              <a:noFill/>
            </a:ln>
            <a:effectLst/>
            <a:sp3d/>
          </c:spPr>
          <c:invertIfNegative val="0"/>
          <c:dLbls>
            <c:dLbl>
              <c:idx val="0"/>
              <c:layout>
                <c:manualLayout>
                  <c:x val="-2.7777777777777779E-3"/>
                  <c:y val="-0.12037037037037036"/>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A251-4C66-BB3D-A1BA243B61FD}"/>
                </c:ext>
              </c:extLst>
            </c:dLbl>
            <c:dLbl>
              <c:idx val="1"/>
              <c:layout>
                <c:manualLayout>
                  <c:x val="1.1111111111111059E-2"/>
                  <c:y val="-0.2129629629629631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A251-4C66-BB3D-A1BA243B61FD}"/>
                </c:ext>
              </c:extLst>
            </c:dLbl>
            <c:dLbl>
              <c:idx val="2"/>
              <c:layout>
                <c:manualLayout>
                  <c:x val="1.6666666666666666E-2"/>
                  <c:y val="-0.38425925925925924"/>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A251-4C66-BB3D-A1BA243B61FD}"/>
                </c:ext>
              </c:extLst>
            </c:dLbl>
            <c:dLbl>
              <c:idx val="3"/>
              <c:layout>
                <c:manualLayout>
                  <c:x val="1.6666666666666566E-2"/>
                  <c:y val="-0.2407407407407407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A251-4C66-BB3D-A1BA243B61F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Summary!$Q$13:$T$13</c:f>
              <c:strCache>
                <c:ptCount val="4"/>
                <c:pt idx="0">
                  <c:v>WLWA</c:v>
                </c:pt>
                <c:pt idx="1">
                  <c:v>ELWA</c:v>
                </c:pt>
                <c:pt idx="2">
                  <c:v>NLWA</c:v>
                </c:pt>
                <c:pt idx="3">
                  <c:v>WRWA</c:v>
                </c:pt>
              </c:strCache>
            </c:strRef>
          </c:cat>
          <c:val>
            <c:numRef>
              <c:f>Summary!$Q$14:$T$14</c:f>
              <c:numCache>
                <c:formatCode>#,##0</c:formatCode>
                <c:ptCount val="4"/>
                <c:pt idx="0">
                  <c:v>12461</c:v>
                </c:pt>
                <c:pt idx="1">
                  <c:v>30713</c:v>
                </c:pt>
                <c:pt idx="2">
                  <c:v>73346</c:v>
                </c:pt>
                <c:pt idx="3">
                  <c:v>34159</c:v>
                </c:pt>
              </c:numCache>
            </c:numRef>
          </c:val>
          <c:extLst>
            <c:ext xmlns:c16="http://schemas.microsoft.com/office/drawing/2014/chart" uri="{C3380CC4-5D6E-409C-BE32-E72D297353CC}">
              <c16:uniqueId val="{00000004-A251-4C66-BB3D-A1BA243B61FD}"/>
            </c:ext>
          </c:extLst>
        </c:ser>
        <c:dLbls>
          <c:showLegendKey val="0"/>
          <c:showVal val="0"/>
          <c:showCatName val="0"/>
          <c:showSerName val="0"/>
          <c:showPercent val="0"/>
          <c:showBubbleSize val="0"/>
        </c:dLbls>
        <c:gapWidth val="150"/>
        <c:shape val="box"/>
        <c:axId val="518608696"/>
        <c:axId val="518610664"/>
        <c:axId val="0"/>
      </c:bar3DChart>
      <c:catAx>
        <c:axId val="51860869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8610664"/>
        <c:crosses val="autoZero"/>
        <c:auto val="1"/>
        <c:lblAlgn val="ctr"/>
        <c:lblOffset val="100"/>
        <c:noMultiLvlLbl val="0"/>
      </c:catAx>
      <c:valAx>
        <c:axId val="5186106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8608696"/>
        <c:crosses val="autoZero"/>
        <c:crossBetween val="between"/>
      </c:valAx>
      <c:spPr>
        <a:noFill/>
        <a:ln>
          <a:noFill/>
        </a:ln>
        <a:effectLst/>
      </c:spPr>
    </c:plotArea>
    <c:plotVisOnly val="1"/>
    <c:dispBlanksAs val="gap"/>
    <c:showDLblsOverMax val="0"/>
  </c:chart>
  <c:spPr>
    <a:solidFill>
      <a:schemeClr val="accent1">
        <a:lumMod val="20000"/>
        <a:lumOff val="80000"/>
      </a:schemeClr>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_rels/drawing1.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cdr:x>
      <cdr:y>0</cdr:y>
    </cdr:from>
    <cdr:to>
      <cdr:x>1</cdr:x>
      <cdr:y>1</cdr:y>
    </cdr:to>
    <cdr:pic>
      <cdr:nvPicPr>
        <cdr:cNvPr id="2" name="Picture 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50800" y="50800"/>
          <a:ext cx="5102860" cy="2755900"/>
        </a:xfrm>
        <a:prstGeom xmlns:a="http://schemas.openxmlformats.org/drawingml/2006/main" prst="rect">
          <a:avLst/>
        </a:prstGeom>
        <a:noFill xmlns:a="http://schemas.openxmlformats.org/drawingml/2006/main"/>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A14788-CDE5-48F1-A06F-03D42241B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7</Pages>
  <Words>2066</Words>
  <Characters>11519</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WEST LONDON WASTE AUTHORITY</vt:lpstr>
    </vt:vector>
  </TitlesOfParts>
  <Company>West London Waste Authority</Company>
  <LinksUpToDate>false</LinksUpToDate>
  <CharactersWithSpaces>13558</CharactersWithSpaces>
  <SharedDoc>false</SharedDoc>
  <HLinks>
    <vt:vector size="18" baseType="variant">
      <vt:variant>
        <vt:i4>6946818</vt:i4>
      </vt:variant>
      <vt:variant>
        <vt:i4>6</vt:i4>
      </vt:variant>
      <vt:variant>
        <vt:i4>0</vt:i4>
      </vt:variant>
      <vt:variant>
        <vt:i4>5</vt:i4>
      </vt:variant>
      <vt:variant>
        <vt:lpwstr>mailto:Odonnelli@ealing.gov.uk</vt:lpwstr>
      </vt:variant>
      <vt:variant>
        <vt:lpwstr/>
      </vt:variant>
      <vt:variant>
        <vt:i4>3997768</vt:i4>
      </vt:variant>
      <vt:variant>
        <vt:i4>3</vt:i4>
      </vt:variant>
      <vt:variant>
        <vt:i4>0</vt:i4>
      </vt:variant>
      <vt:variant>
        <vt:i4>5</vt:i4>
      </vt:variant>
      <vt:variant>
        <vt:lpwstr>mailto:jimbrennan@westlondonwaste.gov.uk</vt:lpwstr>
      </vt:variant>
      <vt:variant>
        <vt:lpwstr/>
      </vt:variant>
      <vt:variant>
        <vt:i4>5242927</vt:i4>
      </vt:variant>
      <vt:variant>
        <vt:i4>0</vt:i4>
      </vt:variant>
      <vt:variant>
        <vt:i4>0</vt:i4>
      </vt:variant>
      <vt:variant>
        <vt:i4>5</vt:i4>
      </vt:variant>
      <vt:variant>
        <vt:lpwstr>mailto:jaypatel@westlondonwaste.gov.uk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LONDON WASTE AUTHORITY</dc:title>
  <dc:creator>Mike Nicholls</dc:creator>
  <cp:lastModifiedBy>Jay Patel</cp:lastModifiedBy>
  <cp:revision>9</cp:revision>
  <cp:lastPrinted>2015-05-20T15:59:00Z</cp:lastPrinted>
  <dcterms:created xsi:type="dcterms:W3CDTF">2022-06-10T13:26:00Z</dcterms:created>
  <dcterms:modified xsi:type="dcterms:W3CDTF">2022-06-15T09:48:00Z</dcterms:modified>
</cp:coreProperties>
</file>